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6F" w:rsidRPr="0082795C" w:rsidRDefault="008E096F" w:rsidP="00C95AE9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932F01" w:rsidRPr="0082795C" w:rsidRDefault="008E096F" w:rsidP="00E76DA6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:rsidR="00B072E7" w:rsidRDefault="00B072E7" w:rsidP="00B01D82">
      <w:pPr>
        <w:rPr>
          <w:b/>
        </w:rPr>
      </w:pPr>
      <w:bookmarkStart w:id="0" w:name="OLE_LINK1"/>
      <w:bookmarkStart w:id="1" w:name="OLE_LINK2"/>
    </w:p>
    <w:p w:rsidR="00B072E7" w:rsidRDefault="00B072E7" w:rsidP="00B01D82">
      <w:pPr>
        <w:rPr>
          <w:b/>
        </w:rPr>
      </w:pPr>
    </w:p>
    <w:p w:rsidR="00E272B6" w:rsidRDefault="00E272B6" w:rsidP="00B01D82">
      <w:pPr>
        <w:rPr>
          <w:b/>
        </w:rPr>
      </w:pPr>
      <w:bookmarkStart w:id="2" w:name="_GoBack"/>
      <w:bookmarkEnd w:id="2"/>
    </w:p>
    <w:p w:rsidR="00E272B6" w:rsidRDefault="00E272B6" w:rsidP="00B01D82">
      <w:pPr>
        <w:rPr>
          <w:b/>
        </w:rPr>
      </w:pPr>
    </w:p>
    <w:p w:rsidR="00E272B6" w:rsidRDefault="00E272B6" w:rsidP="00B01D82">
      <w:pPr>
        <w:rPr>
          <w:b/>
        </w:rPr>
      </w:pPr>
    </w:p>
    <w:bookmarkEnd w:id="0"/>
    <w:bookmarkEnd w:id="1"/>
    <w:p w:rsidR="005C3E00" w:rsidRPr="0033597F" w:rsidRDefault="005C3E00" w:rsidP="005C3E00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:rsidR="005C3E00" w:rsidRDefault="005C3E00" w:rsidP="005C3E00"/>
    <w:p w:rsidR="005C3E00" w:rsidRPr="0033597F" w:rsidRDefault="005C3E00" w:rsidP="005C3E00">
      <w:r w:rsidRPr="0033597F">
        <w:t>In re:</w:t>
      </w:r>
    </w:p>
    <w:p w:rsidR="005C3E00" w:rsidRPr="0033597F" w:rsidRDefault="005C3E00" w:rsidP="005C3E00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11</w:t>
      </w:r>
    </w:p>
    <w:p w:rsidR="005C3E00" w:rsidRPr="0033597F" w:rsidRDefault="005C3E00" w:rsidP="005C3E00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5C3E00" w:rsidRPr="0033597F" w:rsidRDefault="005C3E00" w:rsidP="005C3E00">
      <w:r w:rsidRPr="0033597F">
        <w:t>__________________________</w:t>
      </w:r>
      <w:r>
        <w:t>__</w:t>
      </w:r>
    </w:p>
    <w:p w:rsidR="005C3E00" w:rsidRDefault="005C3E00" w:rsidP="005C3E00"/>
    <w:p w:rsidR="005B7EC9" w:rsidRDefault="005B7EC9" w:rsidP="00C95AE9"/>
    <w:p w:rsidR="005B7EC9" w:rsidRPr="00E272B6" w:rsidRDefault="005B7EC9" w:rsidP="00555D65">
      <w:pPr>
        <w:contextualSpacing/>
        <w:jc w:val="center"/>
        <w:rPr>
          <w:b/>
          <w:smallCaps/>
        </w:rPr>
      </w:pPr>
      <w:r w:rsidRPr="00E272B6">
        <w:rPr>
          <w:b/>
          <w:smallCaps/>
        </w:rPr>
        <w:t>ORDER</w:t>
      </w:r>
    </w:p>
    <w:p w:rsidR="00C95AE9" w:rsidRPr="00E272B6" w:rsidRDefault="004A5DFF" w:rsidP="00555D65">
      <w:pPr>
        <w:spacing w:after="120"/>
        <w:jc w:val="center"/>
        <w:rPr>
          <w:b/>
          <w:smallCaps/>
        </w:rPr>
      </w:pPr>
      <w:r w:rsidRPr="00E272B6">
        <w:rPr>
          <w:b/>
          <w:smallCaps/>
        </w:rPr>
        <w:t>Approving Disclosure S</w:t>
      </w:r>
      <w:r w:rsidR="00C95AE9" w:rsidRPr="00E272B6">
        <w:rPr>
          <w:b/>
          <w:smallCaps/>
        </w:rPr>
        <w:t xml:space="preserve">tatement and </w:t>
      </w:r>
      <w:r w:rsidRPr="00E272B6">
        <w:rPr>
          <w:b/>
          <w:smallCaps/>
        </w:rPr>
        <w:t>Setting Hearing on Confirmation of Plan</w:t>
      </w:r>
    </w:p>
    <w:p w:rsidR="00C95AE9" w:rsidRDefault="008056E4" w:rsidP="005848C0">
      <w:pPr>
        <w:spacing w:line="360" w:lineRule="auto"/>
      </w:pPr>
      <w:r>
        <w:tab/>
      </w:r>
      <w:r w:rsidR="00A8569A">
        <w:t xml:space="preserve">The matter before the Court is </w:t>
      </w:r>
      <w:r w:rsidR="003E348C">
        <w:t xml:space="preserve">the Disclosure Statement </w:t>
      </w:r>
      <w:r w:rsidR="00DD631B">
        <w:t xml:space="preserve">filed by </w:t>
      </w:r>
      <w:r w:rsidR="00DD631B" w:rsidRPr="005C3E00">
        <w:t>[</w:t>
      </w:r>
      <w:r w:rsidR="00A8569A" w:rsidRPr="00B952BB">
        <w:rPr>
          <w:i/>
        </w:rPr>
        <w:t>name of filing party</w:t>
      </w:r>
      <w:r w:rsidR="00A8569A" w:rsidRPr="005C3E00">
        <w:t>]</w:t>
      </w:r>
      <w:r w:rsidR="005C3E00">
        <w:t xml:space="preserve"> </w:t>
      </w:r>
      <w:r w:rsidR="00555D65">
        <w:t>(the “Plan Proponent”)</w:t>
      </w:r>
      <w:r w:rsidR="00A8569A">
        <w:t xml:space="preserve"> </w:t>
      </w:r>
      <w:r w:rsidR="00DD631B">
        <w:t xml:space="preserve">on </w:t>
      </w:r>
      <w:r w:rsidR="00DD631B" w:rsidRPr="005C3E00">
        <w:t>[</w:t>
      </w:r>
      <w:r w:rsidR="00DD631B" w:rsidRPr="00B952BB">
        <w:rPr>
          <w:i/>
        </w:rPr>
        <w:t>date</w:t>
      </w:r>
      <w:r w:rsidR="00DD631B" w:rsidRPr="005C3E00">
        <w:t>]</w:t>
      </w:r>
      <w:r w:rsidR="00DD631B">
        <w:t xml:space="preserve"> </w:t>
      </w:r>
      <w:r w:rsidR="003E348C">
        <w:t xml:space="preserve">(doc. # ___) relating to the proposed Plan </w:t>
      </w:r>
      <w:r w:rsidR="00A8569A">
        <w:t>filed by</w:t>
      </w:r>
      <w:r w:rsidR="00555D65">
        <w:t xml:space="preserve"> the Plan Proponent</w:t>
      </w:r>
      <w:r w:rsidR="00A8569A">
        <w:t xml:space="preserve"> on </w:t>
      </w:r>
      <w:r w:rsidR="00A8569A" w:rsidRPr="005C3E00">
        <w:t>[</w:t>
      </w:r>
      <w:r w:rsidR="00A8569A" w:rsidRPr="00B952BB">
        <w:rPr>
          <w:i/>
        </w:rPr>
        <w:t>date</w:t>
      </w:r>
      <w:r w:rsidR="00A8569A" w:rsidRPr="005C3E00">
        <w:t>]</w:t>
      </w:r>
      <w:r w:rsidR="003E348C">
        <w:t xml:space="preserve"> (doc. # ___)</w:t>
      </w:r>
      <w:r w:rsidR="00A8569A">
        <w:t xml:space="preserve">.  </w:t>
      </w:r>
      <w:r w:rsidR="00555D65">
        <w:t xml:space="preserve">Based upon the record in this case, </w:t>
      </w:r>
      <w:r w:rsidR="00A8569A">
        <w:t>T</w:t>
      </w:r>
      <w:r w:rsidR="00836ED9">
        <w:t>HE</w:t>
      </w:r>
      <w:r w:rsidR="00A8569A">
        <w:t xml:space="preserve"> C</w:t>
      </w:r>
      <w:r w:rsidR="00836ED9">
        <w:t xml:space="preserve">OURT FINDS </w:t>
      </w:r>
      <w:r w:rsidR="00555D65">
        <w:t>the Plan Proponent</w:t>
      </w:r>
      <w:r w:rsidR="00A8569A">
        <w:t xml:space="preserve"> has provided sufficient </w:t>
      </w:r>
      <w:r w:rsidR="003E4367">
        <w:t xml:space="preserve">notice </w:t>
      </w:r>
      <w:r w:rsidR="00836ED9">
        <w:t xml:space="preserve">to all creditors and parties in interest </w:t>
      </w:r>
      <w:r w:rsidR="006B6CD6">
        <w:t>o</w:t>
      </w:r>
      <w:r w:rsidR="003E4367">
        <w:t>f the</w:t>
      </w:r>
      <w:r w:rsidR="00836ED9">
        <w:t xml:space="preserve"> </w:t>
      </w:r>
      <w:r w:rsidR="003E4367">
        <w:t>hearing to appro</w:t>
      </w:r>
      <w:r w:rsidR="002F4FF4">
        <w:t>ve the Disclosure Statement</w:t>
      </w:r>
      <w:r w:rsidR="00A8569A">
        <w:t>.</w:t>
      </w:r>
      <w:r w:rsidR="00836ED9">
        <w:t xml:space="preserve">  </w:t>
      </w:r>
      <w:r w:rsidR="00A8569A">
        <w:t>T</w:t>
      </w:r>
      <w:r w:rsidR="002F4FF4">
        <w:t>he Court held a hearing on the adequ</w:t>
      </w:r>
      <w:r w:rsidR="001D5E7C">
        <w:t xml:space="preserve">acy of the Disclosure Statement, </w:t>
      </w:r>
      <w:r w:rsidR="00A8569A">
        <w:t xml:space="preserve">and either </w:t>
      </w:r>
      <w:r w:rsidR="001D5E7C">
        <w:t xml:space="preserve">no objections </w:t>
      </w:r>
      <w:proofErr w:type="gramStart"/>
      <w:r w:rsidR="00A8569A">
        <w:t xml:space="preserve">were </w:t>
      </w:r>
      <w:r w:rsidR="001D5E7C">
        <w:t>presented</w:t>
      </w:r>
      <w:proofErr w:type="gramEnd"/>
      <w:r w:rsidR="001D5E7C">
        <w:t xml:space="preserve"> or all objections </w:t>
      </w:r>
      <w:r w:rsidR="00A8569A">
        <w:t xml:space="preserve">that were presented were </w:t>
      </w:r>
      <w:r w:rsidR="004E147C">
        <w:t>overruled or withdrawn</w:t>
      </w:r>
      <w:r w:rsidR="00A8569A">
        <w:t xml:space="preserve">. </w:t>
      </w:r>
      <w:r w:rsidR="009651F8">
        <w:t xml:space="preserve"> </w:t>
      </w:r>
      <w:r w:rsidR="00555D65">
        <w:t>Based upon this hearing</w:t>
      </w:r>
      <w:r w:rsidR="00B952BB">
        <w:t>,</w:t>
      </w:r>
      <w:r w:rsidR="009651F8">
        <w:t xml:space="preserve"> </w:t>
      </w:r>
      <w:r w:rsidR="00836ED9">
        <w:t xml:space="preserve">THE COURT </w:t>
      </w:r>
      <w:r w:rsidR="00555D65">
        <w:t xml:space="preserve">FURTHER </w:t>
      </w:r>
      <w:r w:rsidR="00836ED9">
        <w:t xml:space="preserve">FINDS </w:t>
      </w:r>
      <w:r w:rsidR="00555D65">
        <w:t xml:space="preserve">the Plan Proponent </w:t>
      </w:r>
      <w:r w:rsidR="00A8569A">
        <w:t>has satisfied the statutory requirements</w:t>
      </w:r>
      <w:r w:rsidR="00555D65">
        <w:t xml:space="preserve"> for a chapter 11 Disclosure Statement. </w:t>
      </w:r>
    </w:p>
    <w:p w:rsidR="004E147C" w:rsidRDefault="004E147C" w:rsidP="00555D65">
      <w:pPr>
        <w:spacing w:line="360" w:lineRule="auto"/>
      </w:pPr>
      <w:r>
        <w:tab/>
      </w:r>
      <w:r w:rsidR="00A8569A">
        <w:t xml:space="preserve">Therefore, </w:t>
      </w:r>
      <w:r>
        <w:t>IT IS HEREBY ORDERED</w:t>
      </w:r>
      <w:r w:rsidR="005C3E00">
        <w:t>, pursuant to 11 U.S.C.</w:t>
      </w:r>
      <w:r w:rsidR="004249A9">
        <w:t xml:space="preserve"> § 1125(b), </w:t>
      </w:r>
      <w:r>
        <w:t>the Disclosure Statement is approved as containing adequate information</w:t>
      </w:r>
      <w:r w:rsidR="004249A9">
        <w:t xml:space="preserve">, as that term is defined in </w:t>
      </w:r>
      <w:r>
        <w:t>11 U.S.C. § 1125(</w:t>
      </w:r>
      <w:r w:rsidR="004249A9">
        <w:t>a</w:t>
      </w:r>
      <w:r>
        <w:t>)</w:t>
      </w:r>
      <w:r w:rsidR="00555D65">
        <w:t>.</w:t>
      </w:r>
      <w:r>
        <w:t xml:space="preserve"> </w:t>
      </w:r>
    </w:p>
    <w:p w:rsidR="0011413D" w:rsidRDefault="00B952BB" w:rsidP="005848C0">
      <w:pPr>
        <w:spacing w:line="360" w:lineRule="auto"/>
      </w:pPr>
      <w:r>
        <w:tab/>
        <w:t>IT IS FURTHER ORDERED</w:t>
      </w:r>
      <w:r w:rsidR="00836ED9">
        <w:t xml:space="preserve"> </w:t>
      </w:r>
      <w:r w:rsidR="00555D65">
        <w:t xml:space="preserve">the Plan Proponent </w:t>
      </w:r>
      <w:r w:rsidR="008F767E">
        <w:t xml:space="preserve">must serve the Disclosure Statement, Plan, and ballots for accepting or rejecting the Plan upon all creditors by </w:t>
      </w:r>
      <w:r w:rsidR="00AD312B" w:rsidRPr="005C3E00">
        <w:t>[</w:t>
      </w:r>
      <w:r w:rsidR="00AD312B" w:rsidRPr="00AD312B">
        <w:rPr>
          <w:i/>
        </w:rPr>
        <w:t>date</w:t>
      </w:r>
      <w:r w:rsidR="00AD312B" w:rsidRPr="005C3E00">
        <w:t>]</w:t>
      </w:r>
      <w:r w:rsidR="00555D65">
        <w:rPr>
          <w:i/>
        </w:rPr>
        <w:t xml:space="preserve"> and </w:t>
      </w:r>
      <w:r w:rsidR="0011413D">
        <w:t>file a certif</w:t>
      </w:r>
      <w:r w:rsidR="00B510F9">
        <w:t xml:space="preserve">icate of service evidencing </w:t>
      </w:r>
      <w:r w:rsidR="00D919E7">
        <w:t xml:space="preserve">proper </w:t>
      </w:r>
      <w:r w:rsidR="0011413D">
        <w:t xml:space="preserve">service </w:t>
      </w:r>
      <w:r w:rsidR="00D919E7">
        <w:t xml:space="preserve">within three </w:t>
      </w:r>
      <w:r w:rsidR="00836ED9">
        <w:t xml:space="preserve">(3) </w:t>
      </w:r>
      <w:r w:rsidR="00D919E7">
        <w:t xml:space="preserve">days after the service deadline, </w:t>
      </w:r>
      <w:r w:rsidR="00D919E7" w:rsidRPr="00AD312B">
        <w:rPr>
          <w:u w:val="single"/>
        </w:rPr>
        <w:t>i.e.</w:t>
      </w:r>
      <w:r w:rsidR="00D919E7">
        <w:t xml:space="preserve">, by </w:t>
      </w:r>
      <w:r w:rsidR="00D919E7" w:rsidRPr="004249A9">
        <w:t>[</w:t>
      </w:r>
      <w:r w:rsidR="00D919E7" w:rsidRPr="00AD312B">
        <w:rPr>
          <w:i/>
        </w:rPr>
        <w:t>date</w:t>
      </w:r>
      <w:r w:rsidR="00D919E7" w:rsidRPr="004249A9">
        <w:t>]</w:t>
      </w:r>
      <w:r w:rsidR="00555D65">
        <w:rPr>
          <w:i/>
        </w:rPr>
        <w:t>.</w:t>
      </w:r>
    </w:p>
    <w:p w:rsidR="008F767E" w:rsidRDefault="008F767E" w:rsidP="005848C0">
      <w:pPr>
        <w:spacing w:line="360" w:lineRule="auto"/>
      </w:pPr>
      <w:r>
        <w:tab/>
        <w:t xml:space="preserve">IT IS FURTHER ORDERED all completed ballots </w:t>
      </w:r>
      <w:r w:rsidR="00A84E75">
        <w:t xml:space="preserve">must be returned </w:t>
      </w:r>
      <w:r w:rsidR="004B01C5" w:rsidRPr="00D919E7">
        <w:t xml:space="preserve">no later than </w:t>
      </w:r>
      <w:r w:rsidR="00836ED9">
        <w:t>seven (</w:t>
      </w:r>
      <w:r w:rsidR="004B01C5" w:rsidRPr="00D919E7">
        <w:t>7</w:t>
      </w:r>
      <w:r w:rsidR="00836ED9">
        <w:t>)</w:t>
      </w:r>
      <w:r w:rsidR="004B01C5" w:rsidRPr="00D919E7">
        <w:t xml:space="preserve"> days before confirmation hearing</w:t>
      </w:r>
      <w:r w:rsidR="00D919E7">
        <w:t xml:space="preserve">, </w:t>
      </w:r>
      <w:r w:rsidR="00D919E7" w:rsidRPr="00AD312B">
        <w:rPr>
          <w:u w:val="single"/>
        </w:rPr>
        <w:t>i.e.</w:t>
      </w:r>
      <w:r w:rsidR="00D919E7">
        <w:t xml:space="preserve">, by </w:t>
      </w:r>
      <w:r w:rsidR="00D919E7" w:rsidRPr="004249A9">
        <w:t>[</w:t>
      </w:r>
      <w:r w:rsidR="00D919E7" w:rsidRPr="00AD312B">
        <w:rPr>
          <w:i/>
        </w:rPr>
        <w:t>date</w:t>
      </w:r>
      <w:r w:rsidR="00D919E7" w:rsidRPr="004249A9">
        <w:t>]</w:t>
      </w:r>
      <w:r w:rsidR="00A84E75">
        <w:t xml:space="preserve"> and</w:t>
      </w:r>
      <w:r w:rsidR="00555D65">
        <w:t xml:space="preserve"> the Plan proponent must file a certification summarizing all returned ballots </w:t>
      </w:r>
      <w:r w:rsidR="00555D65" w:rsidRPr="00D919E7">
        <w:t xml:space="preserve">no later than </w:t>
      </w:r>
      <w:r w:rsidR="00555D65">
        <w:t>three (</w:t>
      </w:r>
      <w:r w:rsidR="00555D65" w:rsidRPr="00D919E7">
        <w:t>3</w:t>
      </w:r>
      <w:r w:rsidR="00555D65">
        <w:t>)</w:t>
      </w:r>
      <w:r w:rsidR="00555D65" w:rsidRPr="00D919E7">
        <w:t xml:space="preserve"> days before confirmation hearing</w:t>
      </w:r>
      <w:r w:rsidR="00555D65">
        <w:t xml:space="preserve">, </w:t>
      </w:r>
      <w:r w:rsidR="00555D65" w:rsidRPr="00FE7065">
        <w:rPr>
          <w:u w:val="single"/>
        </w:rPr>
        <w:t>i.e.</w:t>
      </w:r>
      <w:r w:rsidR="00555D65">
        <w:t xml:space="preserve">, by </w:t>
      </w:r>
      <w:r w:rsidR="00555D65" w:rsidRPr="004249A9">
        <w:t>[</w:t>
      </w:r>
      <w:r w:rsidR="00555D65" w:rsidRPr="00FE7065">
        <w:rPr>
          <w:i/>
        </w:rPr>
        <w:t>date</w:t>
      </w:r>
      <w:r w:rsidR="00555D65" w:rsidRPr="004249A9">
        <w:t>]</w:t>
      </w:r>
      <w:r w:rsidR="00555D65">
        <w:t>.</w:t>
      </w:r>
    </w:p>
    <w:p w:rsidR="007B738B" w:rsidRDefault="00A84E75" w:rsidP="005848C0">
      <w:pPr>
        <w:spacing w:line="360" w:lineRule="auto"/>
      </w:pPr>
      <w:r>
        <w:tab/>
        <w:t xml:space="preserve">IT IS FURTHER ORDERED the hearing on confirmation of the Plan will be held at </w:t>
      </w:r>
      <w:r w:rsidR="00746823">
        <w:t>__________</w:t>
      </w:r>
      <w:r>
        <w:t xml:space="preserve"> on </w:t>
      </w:r>
      <w:r w:rsidRPr="00A84E75">
        <w:t>__________________</w:t>
      </w:r>
      <w:r w:rsidR="00746823">
        <w:t xml:space="preserve"> at the United States Bankruptcy Court, in __________, Vermont</w:t>
      </w:r>
      <w:r w:rsidR="007B738B">
        <w:t xml:space="preserve"> and</w:t>
      </w:r>
      <w:r w:rsidR="00555D65">
        <w:t xml:space="preserve"> any objections to the Plan must be in writing and filed </w:t>
      </w:r>
      <w:r w:rsidR="00555D65" w:rsidRPr="00D919E7">
        <w:t xml:space="preserve">no later than </w:t>
      </w:r>
      <w:r w:rsidR="00555D65">
        <w:t>seven (</w:t>
      </w:r>
      <w:r w:rsidR="00555D65" w:rsidRPr="00D919E7">
        <w:t>7</w:t>
      </w:r>
      <w:r w:rsidR="00555D65">
        <w:t>)</w:t>
      </w:r>
      <w:r w:rsidR="00555D65" w:rsidRPr="00D919E7">
        <w:t xml:space="preserve"> days before confirmation hearing</w:t>
      </w:r>
      <w:r w:rsidR="00555D65">
        <w:t xml:space="preserve">, </w:t>
      </w:r>
      <w:r w:rsidR="00555D65" w:rsidRPr="00AD312B">
        <w:rPr>
          <w:u w:val="single"/>
        </w:rPr>
        <w:t>i.e.</w:t>
      </w:r>
      <w:r w:rsidR="00555D65">
        <w:t xml:space="preserve">, by </w:t>
      </w:r>
      <w:r w:rsidR="00555D65" w:rsidRPr="004249A9">
        <w:t>[</w:t>
      </w:r>
      <w:r w:rsidR="00555D65" w:rsidRPr="00AD312B">
        <w:rPr>
          <w:i/>
        </w:rPr>
        <w:t>date</w:t>
      </w:r>
      <w:r w:rsidR="00555D65" w:rsidRPr="004249A9">
        <w:t>]</w:t>
      </w:r>
      <w:r w:rsidR="00555D65">
        <w:t>.</w:t>
      </w:r>
    </w:p>
    <w:p w:rsidR="00555D65" w:rsidRDefault="007B738B" w:rsidP="007574E4">
      <w:pPr>
        <w:spacing w:line="360" w:lineRule="auto"/>
      </w:pPr>
      <w:r>
        <w:lastRenderedPageBreak/>
        <w:tab/>
      </w:r>
    </w:p>
    <w:p w:rsidR="00555D65" w:rsidRDefault="00555D65" w:rsidP="007574E4">
      <w:pPr>
        <w:spacing w:line="360" w:lineRule="auto"/>
      </w:pPr>
    </w:p>
    <w:p w:rsidR="007B738B" w:rsidRDefault="007B738B" w:rsidP="00555D65">
      <w:pPr>
        <w:spacing w:line="360" w:lineRule="auto"/>
        <w:ind w:firstLine="720"/>
      </w:pPr>
      <w:r>
        <w:t xml:space="preserve">IT IS FURTHER ORDERED the hearing on confirmation of the Plan </w:t>
      </w:r>
      <w:proofErr w:type="gramStart"/>
      <w:r>
        <w:t>may be continued</w:t>
      </w:r>
      <w:proofErr w:type="gramEnd"/>
      <w:r>
        <w:t xml:space="preserve"> by announcement at the hearing, </w:t>
      </w:r>
      <w:r w:rsidR="00D919E7">
        <w:t xml:space="preserve">and a docket entry, </w:t>
      </w:r>
      <w:r>
        <w:t>with no further notice of the continued</w:t>
      </w:r>
      <w:r w:rsidR="00C52CB4">
        <w:t xml:space="preserve"> hearing date.</w:t>
      </w:r>
    </w:p>
    <w:p w:rsidR="00746823" w:rsidRDefault="00746823" w:rsidP="005848C0">
      <w:pPr>
        <w:spacing w:line="360" w:lineRule="auto"/>
      </w:pPr>
      <w:r>
        <w:tab/>
        <w:t>SO ORDERED.</w:t>
      </w:r>
    </w:p>
    <w:p w:rsidR="004F4CBB" w:rsidRDefault="004F4CBB" w:rsidP="00410198">
      <w:pPr>
        <w:widowControl/>
        <w:jc w:val="both"/>
      </w:pPr>
    </w:p>
    <w:p w:rsidR="00410198" w:rsidRDefault="004F4CBB" w:rsidP="00410198">
      <w:pPr>
        <w:widowControl/>
        <w:jc w:val="both"/>
      </w:pPr>
      <w:r>
        <w:t>Dated: ____________</w:t>
      </w:r>
      <w:r>
        <w:tab/>
      </w:r>
      <w:r w:rsidR="00410198">
        <w:tab/>
      </w:r>
      <w:r w:rsidR="00410198">
        <w:tab/>
      </w:r>
      <w:r w:rsidR="00410198">
        <w:tab/>
      </w:r>
      <w:r w:rsidR="00555D65">
        <w:tab/>
      </w:r>
      <w:r w:rsidR="00555D65">
        <w:tab/>
      </w:r>
      <w:r>
        <w:tab/>
      </w:r>
      <w:r w:rsidR="00410198">
        <w:t>___________________________</w:t>
      </w:r>
    </w:p>
    <w:p w:rsidR="00410198" w:rsidRDefault="004F4CBB" w:rsidP="00410198">
      <w:pPr>
        <w:widowControl/>
        <w:jc w:val="both"/>
      </w:pPr>
      <w:r>
        <w:t>Burlington, Vermont</w:t>
      </w:r>
      <w:r w:rsidR="00410198">
        <w:tab/>
      </w:r>
      <w:r w:rsidR="00410198">
        <w:tab/>
      </w:r>
      <w:r w:rsidR="00555D65">
        <w:tab/>
      </w:r>
      <w:r w:rsidR="00555D65">
        <w:tab/>
      </w:r>
      <w:r w:rsidR="00410198">
        <w:tab/>
      </w:r>
      <w:r w:rsidR="00410198">
        <w:tab/>
      </w:r>
      <w:r>
        <w:tab/>
      </w:r>
      <w:r w:rsidR="00410198">
        <w:t>Colleen A. Brown</w:t>
      </w:r>
    </w:p>
    <w:p w:rsidR="00410198" w:rsidRDefault="00410198" w:rsidP="00410198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CBB">
        <w:tab/>
      </w:r>
      <w:r w:rsidR="004F4CBB">
        <w:tab/>
      </w:r>
      <w:r>
        <w:t>United States Bankruptcy Judge</w:t>
      </w:r>
    </w:p>
    <w:p w:rsidR="0068669A" w:rsidRDefault="0068669A" w:rsidP="00C95AE9"/>
    <w:sectPr w:rsidR="0068669A" w:rsidSect="007574E4">
      <w:headerReference w:type="default" r:id="rId7"/>
      <w:footerReference w:type="default" r:id="rId8"/>
      <w:type w:val="continuous"/>
      <w:pgSz w:w="12240" w:h="15840"/>
      <w:pgMar w:top="1008" w:right="1008" w:bottom="720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6E" w:rsidRDefault="00D84E6E" w:rsidP="00C4343A">
      <w:r>
        <w:separator/>
      </w:r>
    </w:p>
  </w:endnote>
  <w:endnote w:type="continuationSeparator" w:id="0">
    <w:p w:rsidR="00D84E6E" w:rsidRDefault="00D84E6E" w:rsidP="00C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C9" w:rsidRDefault="001E3E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6E" w:rsidRDefault="00D84E6E" w:rsidP="00C4343A">
      <w:r>
        <w:separator/>
      </w:r>
    </w:p>
  </w:footnote>
  <w:footnote w:type="continuationSeparator" w:id="0">
    <w:p w:rsidR="00D84E6E" w:rsidRDefault="00D84E6E" w:rsidP="00C4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C9" w:rsidRPr="00582FF3" w:rsidRDefault="001E3EC9" w:rsidP="004A5DFF">
    <w:pPr>
      <w:rPr>
        <w:sz w:val="20"/>
        <w:szCs w:val="16"/>
      </w:rPr>
    </w:pPr>
    <w:r w:rsidRPr="00582FF3">
      <w:rPr>
        <w:sz w:val="20"/>
        <w:szCs w:val="16"/>
      </w:rPr>
      <w:t>VTB Form P</w:t>
    </w:r>
  </w:p>
  <w:p w:rsidR="001E3EC9" w:rsidRPr="00582FF3" w:rsidRDefault="00B072E7" w:rsidP="004A5DFF">
    <w:pPr>
      <w:rPr>
        <w:sz w:val="20"/>
        <w:szCs w:val="16"/>
      </w:rPr>
    </w:pPr>
    <w:r>
      <w:rPr>
        <w:sz w:val="20"/>
        <w:szCs w:val="16"/>
      </w:rPr>
      <w:t>0</w:t>
    </w:r>
    <w:r w:rsidR="00E9160F">
      <w:rPr>
        <w:sz w:val="20"/>
        <w:szCs w:val="16"/>
      </w:rPr>
      <w:t>4</w:t>
    </w:r>
    <w:r w:rsidR="00582FF3">
      <w:rPr>
        <w:sz w:val="20"/>
        <w:szCs w:val="16"/>
      </w:rPr>
      <w:t>/2018</w:t>
    </w:r>
  </w:p>
  <w:p w:rsidR="001E3EC9" w:rsidRDefault="006C0EE1" w:rsidP="00B072E7">
    <w:pPr>
      <w:rPr>
        <w:sz w:val="20"/>
        <w:szCs w:val="16"/>
      </w:rPr>
    </w:pPr>
    <w:r w:rsidRPr="00582FF3">
      <w:rPr>
        <w:sz w:val="20"/>
        <w:szCs w:val="16"/>
        <w:u w:val="single"/>
      </w:rPr>
      <w:t>See</w:t>
    </w:r>
    <w:r w:rsidRPr="00582FF3">
      <w:rPr>
        <w:sz w:val="20"/>
        <w:szCs w:val="16"/>
      </w:rPr>
      <w:t xml:space="preserve"> Vt. LBR 3017-1</w:t>
    </w:r>
  </w:p>
  <w:p w:rsidR="00E272B6" w:rsidRDefault="00E272B6" w:rsidP="00B072E7">
    <w:pPr>
      <w:rPr>
        <w:sz w:val="20"/>
        <w:szCs w:val="16"/>
      </w:rPr>
    </w:pPr>
  </w:p>
  <w:p w:rsidR="007574E4" w:rsidRPr="00B072E7" w:rsidRDefault="007574E4" w:rsidP="00B072E7">
    <w:pPr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85B6F"/>
    <w:multiLevelType w:val="hybridMultilevel"/>
    <w:tmpl w:val="AD121B8A"/>
    <w:lvl w:ilvl="0" w:tplc="550291F4">
      <w:start w:val="1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1638C"/>
    <w:multiLevelType w:val="hybridMultilevel"/>
    <w:tmpl w:val="DD44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96F"/>
    <w:rsid w:val="0003459B"/>
    <w:rsid w:val="00044551"/>
    <w:rsid w:val="00071CBB"/>
    <w:rsid w:val="000A69E9"/>
    <w:rsid w:val="001063AF"/>
    <w:rsid w:val="0011413D"/>
    <w:rsid w:val="001917E7"/>
    <w:rsid w:val="001D5E7C"/>
    <w:rsid w:val="001E183B"/>
    <w:rsid w:val="001E3EC9"/>
    <w:rsid w:val="001E5345"/>
    <w:rsid w:val="00231CB6"/>
    <w:rsid w:val="00262E5C"/>
    <w:rsid w:val="00266E4E"/>
    <w:rsid w:val="00287FF8"/>
    <w:rsid w:val="002E7E47"/>
    <w:rsid w:val="002F4FF4"/>
    <w:rsid w:val="003027F9"/>
    <w:rsid w:val="003B212A"/>
    <w:rsid w:val="003E348C"/>
    <w:rsid w:val="003E4367"/>
    <w:rsid w:val="00410198"/>
    <w:rsid w:val="004249A9"/>
    <w:rsid w:val="00425E94"/>
    <w:rsid w:val="00431B64"/>
    <w:rsid w:val="00474E02"/>
    <w:rsid w:val="004A2C0F"/>
    <w:rsid w:val="004A5DFF"/>
    <w:rsid w:val="004B01C5"/>
    <w:rsid w:val="004B439A"/>
    <w:rsid w:val="004D08E9"/>
    <w:rsid w:val="004E147C"/>
    <w:rsid w:val="004F4CBB"/>
    <w:rsid w:val="00551A0B"/>
    <w:rsid w:val="00555D65"/>
    <w:rsid w:val="00582FF3"/>
    <w:rsid w:val="005848C0"/>
    <w:rsid w:val="005B0453"/>
    <w:rsid w:val="005B7EC9"/>
    <w:rsid w:val="005C3E00"/>
    <w:rsid w:val="005E2708"/>
    <w:rsid w:val="006032F0"/>
    <w:rsid w:val="00610F39"/>
    <w:rsid w:val="00621832"/>
    <w:rsid w:val="0065359E"/>
    <w:rsid w:val="0068669A"/>
    <w:rsid w:val="006939EF"/>
    <w:rsid w:val="006A6AF0"/>
    <w:rsid w:val="006B6CD6"/>
    <w:rsid w:val="006C0EE1"/>
    <w:rsid w:val="007264DC"/>
    <w:rsid w:val="00746823"/>
    <w:rsid w:val="007574E4"/>
    <w:rsid w:val="007B738B"/>
    <w:rsid w:val="008056E4"/>
    <w:rsid w:val="00814159"/>
    <w:rsid w:val="00814E95"/>
    <w:rsid w:val="0082795C"/>
    <w:rsid w:val="00836ED9"/>
    <w:rsid w:val="00843590"/>
    <w:rsid w:val="00847F00"/>
    <w:rsid w:val="008E096F"/>
    <w:rsid w:val="008F767E"/>
    <w:rsid w:val="00902B25"/>
    <w:rsid w:val="00932F01"/>
    <w:rsid w:val="00960C9E"/>
    <w:rsid w:val="009651F8"/>
    <w:rsid w:val="00984165"/>
    <w:rsid w:val="009D4BFA"/>
    <w:rsid w:val="009E5A16"/>
    <w:rsid w:val="00A20E0E"/>
    <w:rsid w:val="00A647C8"/>
    <w:rsid w:val="00A84E75"/>
    <w:rsid w:val="00A8569A"/>
    <w:rsid w:val="00AD312B"/>
    <w:rsid w:val="00AD74F8"/>
    <w:rsid w:val="00AF5D6F"/>
    <w:rsid w:val="00B01D82"/>
    <w:rsid w:val="00B072E7"/>
    <w:rsid w:val="00B510F9"/>
    <w:rsid w:val="00B952BB"/>
    <w:rsid w:val="00C06255"/>
    <w:rsid w:val="00C22AB8"/>
    <w:rsid w:val="00C4343A"/>
    <w:rsid w:val="00C46C9C"/>
    <w:rsid w:val="00C52CB4"/>
    <w:rsid w:val="00C95AE9"/>
    <w:rsid w:val="00CD2DEC"/>
    <w:rsid w:val="00CF699F"/>
    <w:rsid w:val="00D84E6E"/>
    <w:rsid w:val="00D919E7"/>
    <w:rsid w:val="00DC696E"/>
    <w:rsid w:val="00DD631B"/>
    <w:rsid w:val="00E2335B"/>
    <w:rsid w:val="00E25519"/>
    <w:rsid w:val="00E272B6"/>
    <w:rsid w:val="00E76DA6"/>
    <w:rsid w:val="00E87A2D"/>
    <w:rsid w:val="00E9160F"/>
    <w:rsid w:val="00F27BC2"/>
    <w:rsid w:val="00F714B5"/>
    <w:rsid w:val="00FC262E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39B14A"/>
  <w15:chartTrackingRefBased/>
  <w15:docId w15:val="{55532189-2576-40AA-8141-8A7D65D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eader">
    <w:name w:val="header"/>
    <w:basedOn w:val="Normal"/>
    <w:link w:val="HeaderChar"/>
    <w:rsid w:val="00C434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34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34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43A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 Hart</dc:creator>
  <cp:keywords/>
  <dc:description/>
  <cp:lastModifiedBy>Maria C. Dionne</cp:lastModifiedBy>
  <cp:revision>6</cp:revision>
  <dcterms:created xsi:type="dcterms:W3CDTF">2018-03-12T19:04:00Z</dcterms:created>
  <dcterms:modified xsi:type="dcterms:W3CDTF">2018-04-25T15:39:00Z</dcterms:modified>
</cp:coreProperties>
</file>