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56" w:rsidRPr="001952EA" w:rsidRDefault="00F83A56" w:rsidP="00F83A56">
      <w:pPr>
        <w:jc w:val="center"/>
        <w:rPr>
          <w:b/>
        </w:rPr>
      </w:pPr>
      <w:r w:rsidRPr="001952EA">
        <w:rPr>
          <w:b/>
        </w:rPr>
        <w:t>UNITED STATES BANKRUPTCY COURT</w:t>
      </w:r>
    </w:p>
    <w:p w:rsidR="00F83A56" w:rsidRPr="00FA7652" w:rsidRDefault="00F83A56" w:rsidP="00F83A56">
      <w:pPr>
        <w:tabs>
          <w:tab w:val="center" w:pos="4680"/>
        </w:tabs>
        <w:jc w:val="center"/>
        <w:rPr>
          <w:b/>
          <w:bCs/>
        </w:rPr>
      </w:pPr>
      <w:r w:rsidRPr="00FA7652">
        <w:rPr>
          <w:b/>
          <w:bCs/>
        </w:rPr>
        <w:t>DISTRICT OF VERMONT</w:t>
      </w:r>
    </w:p>
    <w:p w:rsidR="00F83A56" w:rsidRDefault="00F83A56" w:rsidP="00F83A56">
      <w:pPr>
        <w:jc w:val="both"/>
        <w:rPr>
          <w:b/>
          <w:bCs/>
        </w:rPr>
      </w:pPr>
      <w:bookmarkStart w:id="0" w:name="_GoBack"/>
      <w:bookmarkEnd w:id="0"/>
    </w:p>
    <w:p w:rsidR="00D734D1" w:rsidRDefault="00D734D1" w:rsidP="00F83A56">
      <w:pPr>
        <w:jc w:val="both"/>
        <w:rPr>
          <w:b/>
          <w:bCs/>
        </w:rPr>
      </w:pPr>
    </w:p>
    <w:p w:rsidR="0065680F" w:rsidRPr="0033597F" w:rsidRDefault="0065680F" w:rsidP="0065680F">
      <w:pPr>
        <w:rPr>
          <w:b/>
        </w:rPr>
      </w:pPr>
      <w:bookmarkStart w:id="1" w:name="OLE_LINK1"/>
      <w:bookmarkStart w:id="2" w:name="OLE_LINK2"/>
      <w:r w:rsidRPr="0033597F">
        <w:rPr>
          <w:b/>
        </w:rPr>
        <w:t>__________________________</w:t>
      </w:r>
      <w:r>
        <w:rPr>
          <w:b/>
        </w:rPr>
        <w:t>__</w:t>
      </w:r>
    </w:p>
    <w:p w:rsidR="005C7C13" w:rsidRPr="00FD30C2" w:rsidRDefault="005C7C13" w:rsidP="0065680F"/>
    <w:p w:rsidR="0065680F" w:rsidRPr="0033597F" w:rsidRDefault="0065680F" w:rsidP="0065680F">
      <w:r w:rsidRPr="0033597F">
        <w:t>In re:</w:t>
      </w:r>
    </w:p>
    <w:p w:rsidR="0065680F" w:rsidRPr="0033597F" w:rsidRDefault="0065680F" w:rsidP="0065680F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__</w:t>
      </w:r>
    </w:p>
    <w:p w:rsidR="0065680F" w:rsidRPr="0033597F" w:rsidRDefault="0065680F" w:rsidP="0065680F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D954D8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</w:t>
      </w:r>
      <w:r w:rsidR="00FD30C2">
        <w:rPr>
          <w:b/>
        </w:rPr>
        <w:t>_</w:t>
      </w:r>
      <w:r w:rsidRPr="0033597F">
        <w:rPr>
          <w:b/>
        </w:rPr>
        <w:t>____</w:t>
      </w:r>
    </w:p>
    <w:p w:rsidR="0065680F" w:rsidRDefault="0065680F" w:rsidP="0065680F">
      <w:pPr>
        <w:jc w:val="both"/>
      </w:pPr>
      <w:r w:rsidRPr="0033597F">
        <w:t>__________________________</w:t>
      </w:r>
      <w:r>
        <w:t>__</w:t>
      </w:r>
      <w:bookmarkEnd w:id="1"/>
      <w:bookmarkEnd w:id="2"/>
    </w:p>
    <w:p w:rsidR="0065680F" w:rsidRPr="00FA7652" w:rsidRDefault="0065680F" w:rsidP="00FD30C2">
      <w:pPr>
        <w:contextualSpacing/>
        <w:jc w:val="both"/>
        <w:rPr>
          <w:b/>
          <w:bCs/>
        </w:rPr>
      </w:pPr>
    </w:p>
    <w:p w:rsidR="00FD30C2" w:rsidRDefault="00FD30C2" w:rsidP="00FD30C2">
      <w:pPr>
        <w:widowControl/>
        <w:contextualSpacing/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Debtor’s Motion to Avoid Lien </w:t>
      </w:r>
    </w:p>
    <w:p w:rsidR="00FB496B" w:rsidRPr="00076157" w:rsidRDefault="00FD30C2" w:rsidP="00FD30C2">
      <w:pPr>
        <w:widowControl/>
        <w:contextualSpacing/>
        <w:jc w:val="center"/>
        <w:rPr>
          <w:smallCaps/>
        </w:rPr>
      </w:pPr>
      <w:r>
        <w:rPr>
          <w:b/>
          <w:bCs/>
          <w:smallCaps/>
        </w:rPr>
        <w:t>Pursuant to</w:t>
      </w:r>
      <w:r w:rsidR="001E7445" w:rsidRPr="00076157">
        <w:rPr>
          <w:b/>
          <w:bCs/>
          <w:smallCaps/>
        </w:rPr>
        <w:t xml:space="preserve"> </w:t>
      </w:r>
      <w:r w:rsidR="00FB496B" w:rsidRPr="00076157">
        <w:rPr>
          <w:b/>
          <w:bCs/>
          <w:smallCaps/>
        </w:rPr>
        <w:t>11 U.S.C. § 522(</w:t>
      </w:r>
      <w:r w:rsidRPr="00FD30C2">
        <w:rPr>
          <w:b/>
          <w:bCs/>
        </w:rPr>
        <w:t>f</w:t>
      </w:r>
      <w:proofErr w:type="gramStart"/>
      <w:r w:rsidR="00FB496B" w:rsidRPr="00076157">
        <w:rPr>
          <w:b/>
          <w:bCs/>
          <w:smallCaps/>
        </w:rPr>
        <w:t>)(</w:t>
      </w:r>
      <w:proofErr w:type="gramEnd"/>
      <w:r w:rsidR="00FB496B" w:rsidRPr="00076157">
        <w:rPr>
          <w:b/>
          <w:bCs/>
          <w:smallCaps/>
        </w:rPr>
        <w:t>2)</w:t>
      </w:r>
      <w:r w:rsidR="00940966">
        <w:rPr>
          <w:rStyle w:val="FootnoteReference"/>
          <w:b/>
          <w:bCs/>
          <w:smallCaps/>
        </w:rPr>
        <w:footnoteReference w:id="1"/>
      </w:r>
    </w:p>
    <w:p w:rsidR="003C4FD7" w:rsidRPr="00734FED" w:rsidRDefault="003C4FD7" w:rsidP="00FD30C2">
      <w:pPr>
        <w:widowControl/>
        <w:contextualSpacing/>
        <w:jc w:val="both"/>
      </w:pPr>
    </w:p>
    <w:p w:rsidR="000E131E" w:rsidRDefault="00FB496B" w:rsidP="00FD30C2">
      <w:pPr>
        <w:widowControl/>
        <w:contextualSpacing/>
      </w:pPr>
      <w:r w:rsidRPr="00D0307F">
        <w:tab/>
      </w:r>
      <w:r w:rsidRPr="000E131E">
        <w:rPr>
          <w:b/>
        </w:rPr>
        <w:t>NOW COMES</w:t>
      </w:r>
      <w:r w:rsidR="00CC4EB7">
        <w:t xml:space="preserve"> </w:t>
      </w:r>
      <w:r w:rsidR="006843BC" w:rsidRPr="004737B0">
        <w:t>[</w:t>
      </w:r>
      <w:r w:rsidR="006F7654" w:rsidRPr="00940966">
        <w:rPr>
          <w:i/>
        </w:rPr>
        <w:t>name of debtor</w:t>
      </w:r>
      <w:r w:rsidR="006843BC" w:rsidRPr="00940966">
        <w:t>]</w:t>
      </w:r>
      <w:r w:rsidR="004737B0">
        <w:t xml:space="preserve"> </w:t>
      </w:r>
      <w:r>
        <w:t xml:space="preserve">by and through attorney, </w:t>
      </w:r>
      <w:r w:rsidR="00092F4A">
        <w:t>___________</w:t>
      </w:r>
      <w:r>
        <w:t xml:space="preserve">, pursuant to 11 U.S.C. </w:t>
      </w:r>
      <w:r w:rsidR="00940966">
        <w:t xml:space="preserve">    </w:t>
      </w:r>
      <w:r>
        <w:t>§ 522(f) and the Federal Rules of Bankruptcy Procedure 4003(d) and 9014, to request this Court enter an order avoiding the</w:t>
      </w:r>
      <w:r w:rsidR="004737B0">
        <w:t xml:space="preserve"> </w:t>
      </w:r>
      <w:r w:rsidR="006843BC" w:rsidRPr="004737B0">
        <w:t>[</w:t>
      </w:r>
      <w:r w:rsidRPr="00940966">
        <w:rPr>
          <w:i/>
        </w:rPr>
        <w:t>judicial lien</w:t>
      </w:r>
      <w:r w:rsidR="00390471" w:rsidRPr="00940966">
        <w:rPr>
          <w:i/>
        </w:rPr>
        <w:t>(</w:t>
      </w:r>
      <w:r w:rsidRPr="00940966">
        <w:rPr>
          <w:i/>
        </w:rPr>
        <w:t>s</w:t>
      </w:r>
      <w:r w:rsidR="00390471" w:rsidRPr="00940966">
        <w:rPr>
          <w:i/>
        </w:rPr>
        <w:t>)</w:t>
      </w:r>
      <w:r w:rsidRPr="00940966">
        <w:rPr>
          <w:i/>
        </w:rPr>
        <w:t xml:space="preserve"> and/or nonpossessory, non</w:t>
      </w:r>
      <w:r w:rsidR="00940966" w:rsidRPr="00940966">
        <w:rPr>
          <w:i/>
        </w:rPr>
        <w:t>-</w:t>
      </w:r>
      <w:r w:rsidRPr="00940966">
        <w:rPr>
          <w:i/>
        </w:rPr>
        <w:t>purchase-money security interest</w:t>
      </w:r>
      <w:r w:rsidR="006843BC" w:rsidRPr="004737B0">
        <w:t>]</w:t>
      </w:r>
      <w:r w:rsidR="004737B0">
        <w:t xml:space="preserve"> </w:t>
      </w:r>
      <w:r>
        <w:t xml:space="preserve">held by </w:t>
      </w:r>
      <w:r w:rsidR="006F7654">
        <w:rPr>
          <w:u w:val="single"/>
        </w:rPr>
        <w:t xml:space="preserve">  </w:t>
      </w:r>
      <w:r w:rsidR="006843BC" w:rsidRPr="004737B0">
        <w:t>[</w:t>
      </w:r>
      <w:r w:rsidR="006F7654" w:rsidRPr="00940966">
        <w:rPr>
          <w:i/>
        </w:rPr>
        <w:t xml:space="preserve">name of </w:t>
      </w:r>
      <w:r w:rsidR="00734FED" w:rsidRPr="00940966">
        <w:rPr>
          <w:i/>
        </w:rPr>
        <w:t>creditor</w:t>
      </w:r>
      <w:r w:rsidR="006843BC" w:rsidRPr="004737B0">
        <w:t>]</w:t>
      </w:r>
      <w:r w:rsidR="006F7654" w:rsidRPr="004737B0">
        <w:t xml:space="preserve"> </w:t>
      </w:r>
      <w:r w:rsidR="00734FED" w:rsidRPr="004737B0">
        <w:t>(</w:t>
      </w:r>
      <w:r w:rsidR="00734FED" w:rsidRPr="00940966">
        <w:t>the “Respondent”</w:t>
      </w:r>
      <w:r w:rsidR="00734FED" w:rsidRPr="004737B0">
        <w:t>)</w:t>
      </w:r>
      <w:r w:rsidR="004737B0">
        <w:t xml:space="preserve"> </w:t>
      </w:r>
      <w:r>
        <w:t>on</w:t>
      </w:r>
      <w:r w:rsidR="006F7654" w:rsidRPr="004737B0">
        <w:t xml:space="preserve"> </w:t>
      </w:r>
      <w:r w:rsidR="006843BC" w:rsidRPr="004737B0">
        <w:t>[</w:t>
      </w:r>
      <w:r w:rsidR="006F7654" w:rsidRPr="00940966">
        <w:rPr>
          <w:i/>
        </w:rPr>
        <w:t>description of property</w:t>
      </w:r>
      <w:r w:rsidR="006843BC" w:rsidRPr="004737B0">
        <w:t>]</w:t>
      </w:r>
      <w:r w:rsidR="004737B0">
        <w:t xml:space="preserve"> </w:t>
      </w:r>
      <w:r w:rsidR="006C4551">
        <w:t>(the “Property”)</w:t>
      </w:r>
      <w:r>
        <w:t xml:space="preserve">.  </w:t>
      </w:r>
    </w:p>
    <w:p w:rsidR="000E131E" w:rsidRDefault="000E131E" w:rsidP="00FD30C2">
      <w:pPr>
        <w:widowControl/>
        <w:contextualSpacing/>
      </w:pPr>
    </w:p>
    <w:p w:rsidR="00FB496B" w:rsidRDefault="00FB496B" w:rsidP="000E131E">
      <w:pPr>
        <w:widowControl/>
        <w:ind w:firstLine="450"/>
        <w:contextualSpacing/>
      </w:pPr>
      <w:r>
        <w:t xml:space="preserve">In support of this Motion, the </w:t>
      </w:r>
      <w:r w:rsidR="00734FED">
        <w:t>d</w:t>
      </w:r>
      <w:r>
        <w:t>ebtor states</w:t>
      </w:r>
      <w:r w:rsidR="006C4551">
        <w:t xml:space="preserve"> the following.</w:t>
      </w:r>
    </w:p>
    <w:p w:rsidR="00FB496B" w:rsidRDefault="00FB496B" w:rsidP="00FB496B">
      <w:pPr>
        <w:widowControl/>
        <w:jc w:val="both"/>
      </w:pPr>
    </w:p>
    <w:p w:rsidR="00FB496B" w:rsidRDefault="00FB496B" w:rsidP="00092F4A">
      <w:pPr>
        <w:widowControl/>
        <w:ind w:left="450" w:hanging="450"/>
      </w:pPr>
      <w:r>
        <w:t>1.</w:t>
      </w:r>
      <w:r>
        <w:tab/>
        <w:t>This Court has jurisdiction in this matter pursuant to 28 U.S.C. § 1334(a).</w:t>
      </w:r>
      <w:r w:rsidR="00092F4A">
        <w:t xml:space="preserve">  </w:t>
      </w:r>
      <w:r>
        <w:t xml:space="preserve">This matter is a core proceeding as </w:t>
      </w:r>
      <w:r w:rsidR="00734FED">
        <w:t xml:space="preserve">described </w:t>
      </w:r>
      <w:r>
        <w:t>by 28 U.S.C. § 157(b</w:t>
      </w:r>
      <w:proofErr w:type="gramStart"/>
      <w:r>
        <w:t>)(</w:t>
      </w:r>
      <w:proofErr w:type="gramEnd"/>
      <w:r>
        <w:t>2)(K).</w:t>
      </w:r>
    </w:p>
    <w:p w:rsidR="00FB496B" w:rsidRDefault="00FB496B" w:rsidP="00092F4A">
      <w:pPr>
        <w:widowControl/>
        <w:ind w:left="450" w:hanging="450"/>
      </w:pPr>
    </w:p>
    <w:p w:rsidR="00FB496B" w:rsidRDefault="00FB496B" w:rsidP="00092F4A">
      <w:pPr>
        <w:widowControl/>
        <w:ind w:left="450" w:hanging="450"/>
      </w:pPr>
      <w:r>
        <w:t>2.</w:t>
      </w:r>
      <w:r>
        <w:tab/>
        <w:t xml:space="preserve">The </w:t>
      </w:r>
      <w:r w:rsidR="00734FED">
        <w:t>d</w:t>
      </w:r>
      <w:r>
        <w:t xml:space="preserve">ebtor filed a voluntary petition under </w:t>
      </w:r>
      <w:r w:rsidR="00734FED">
        <w:t>c</w:t>
      </w:r>
      <w:r>
        <w:t xml:space="preserve">hapter ___ of the Bankruptcy Code on </w:t>
      </w:r>
      <w:r w:rsidR="006843BC" w:rsidRPr="004737B0">
        <w:t>[</w:t>
      </w:r>
      <w:r w:rsidR="006843BC" w:rsidRPr="00940966">
        <w:rPr>
          <w:i/>
        </w:rPr>
        <w:t>date</w:t>
      </w:r>
      <w:r w:rsidR="006843BC" w:rsidRPr="004737B0">
        <w:t>]</w:t>
      </w:r>
      <w:r w:rsidR="006C4551">
        <w:t>.</w:t>
      </w:r>
    </w:p>
    <w:p w:rsidR="006C4551" w:rsidRDefault="006C4551" w:rsidP="00092F4A">
      <w:pPr>
        <w:widowControl/>
        <w:ind w:left="450" w:hanging="450"/>
      </w:pPr>
    </w:p>
    <w:p w:rsidR="007055A4" w:rsidRDefault="007055A4" w:rsidP="00092F4A">
      <w:pPr>
        <w:widowControl/>
        <w:ind w:left="450" w:hanging="450"/>
      </w:pPr>
      <w:r>
        <w:t>3.</w:t>
      </w:r>
      <w:r>
        <w:tab/>
        <w:t xml:space="preserve">The </w:t>
      </w:r>
      <w:r w:rsidR="00734FED">
        <w:t>d</w:t>
      </w:r>
      <w:r>
        <w:t xml:space="preserve">ebtor is entitled to an exemption in the Property in the amount of $ </w:t>
      </w:r>
      <w:r w:rsidR="00CC4EB7">
        <w:t>_______________</w:t>
      </w:r>
      <w:r>
        <w:t xml:space="preserve">, pursuant to </w:t>
      </w:r>
      <w:r w:rsidR="00E15475" w:rsidRPr="004737B0">
        <w:t xml:space="preserve">  [</w:t>
      </w:r>
      <w:r w:rsidR="00E15475" w:rsidRPr="00940966">
        <w:rPr>
          <w:i/>
        </w:rPr>
        <w:t>cite legal authority</w:t>
      </w:r>
      <w:r w:rsidR="00E15475" w:rsidRPr="0051562C">
        <w:rPr>
          <w:i/>
        </w:rPr>
        <w:t xml:space="preserve"> </w:t>
      </w:r>
      <w:r w:rsidRPr="0051562C">
        <w:rPr>
          <w:i/>
        </w:rPr>
        <w:t>(</w:t>
      </w:r>
      <w:r w:rsidRPr="00092F4A">
        <w:rPr>
          <w:i/>
        </w:rPr>
        <w:t>e.g., 27 V.S.A. § 101)</w:t>
      </w:r>
      <w:r w:rsidR="00E15475" w:rsidRPr="00092F4A">
        <w:t>]</w:t>
      </w:r>
      <w:r w:rsidR="00734FED" w:rsidRPr="00092F4A">
        <w:t xml:space="preserve">, </w:t>
      </w:r>
      <w:r w:rsidR="00734FED" w:rsidRPr="00940966">
        <w:t>and has claimed that exemption on the</w:t>
      </w:r>
      <w:r w:rsidR="0065680F" w:rsidRPr="00940966">
        <w:t xml:space="preserve"> Schedule C filed on</w:t>
      </w:r>
      <w:r w:rsidR="0065680F" w:rsidRPr="00092F4A">
        <w:rPr>
          <w:i/>
        </w:rPr>
        <w:t xml:space="preserve"> [date]</w:t>
      </w:r>
      <w:r w:rsidR="0065680F" w:rsidRPr="00940966">
        <w:t xml:space="preserve"> (doc.</w:t>
      </w:r>
      <w:r w:rsidR="00734FED" w:rsidRPr="00940966">
        <w:t xml:space="preserve"> #_)</w:t>
      </w:r>
      <w:r w:rsidR="00940966">
        <w:t>.</w:t>
      </w:r>
    </w:p>
    <w:p w:rsidR="007055A4" w:rsidRPr="00D0307F" w:rsidRDefault="007055A4" w:rsidP="00092F4A">
      <w:pPr>
        <w:widowControl/>
        <w:ind w:left="450" w:hanging="450"/>
      </w:pPr>
      <w:r w:rsidRPr="00D0307F">
        <w:t xml:space="preserve"> </w:t>
      </w:r>
    </w:p>
    <w:p w:rsidR="007055A4" w:rsidRDefault="007055A4" w:rsidP="00092F4A">
      <w:pPr>
        <w:widowControl/>
        <w:ind w:left="450" w:hanging="450"/>
      </w:pPr>
      <w:r>
        <w:t>4.</w:t>
      </w:r>
      <w:r>
        <w:tab/>
        <w:t xml:space="preserve">The Property has a fair market value of $ </w:t>
      </w:r>
      <w:r w:rsidR="00CC4EB7">
        <w:t>_______________.  This valuation is based upon</w:t>
      </w:r>
      <w:r w:rsidR="00E15475">
        <w:t xml:space="preserve"> </w:t>
      </w:r>
      <w:r w:rsidR="00E15475" w:rsidRPr="00B16D1F">
        <w:t>[</w:t>
      </w:r>
      <w:r w:rsidR="00E15475" w:rsidRPr="00092F4A">
        <w:rPr>
          <w:i/>
        </w:rPr>
        <w:t>describe basis for valuation (e.g. grand list, real estate appraisal, other source)</w:t>
      </w:r>
      <w:r w:rsidR="00E15475">
        <w:rPr>
          <w:u w:val="single"/>
        </w:rPr>
        <w:t>]</w:t>
      </w:r>
      <w:r>
        <w:t>.</w:t>
      </w:r>
    </w:p>
    <w:p w:rsidR="007055A4" w:rsidRDefault="007055A4" w:rsidP="00092F4A">
      <w:pPr>
        <w:widowControl/>
        <w:ind w:left="450" w:hanging="450"/>
      </w:pPr>
    </w:p>
    <w:p w:rsidR="00A002C0" w:rsidRDefault="007055A4" w:rsidP="00092F4A">
      <w:pPr>
        <w:widowControl/>
        <w:ind w:left="450" w:hanging="450"/>
      </w:pPr>
      <w:r>
        <w:t>5</w:t>
      </w:r>
      <w:r w:rsidR="006C4551">
        <w:t>.</w:t>
      </w:r>
      <w:r w:rsidR="006C4551">
        <w:tab/>
        <w:t xml:space="preserve">The Property is subject to the following mortgages, judicial liens, and/or </w:t>
      </w:r>
      <w:r w:rsidR="00A002C0">
        <w:t xml:space="preserve">nonpossessory, </w:t>
      </w:r>
    </w:p>
    <w:p w:rsidR="006C4551" w:rsidRDefault="00940966" w:rsidP="00092F4A">
      <w:pPr>
        <w:widowControl/>
        <w:tabs>
          <w:tab w:val="left" w:pos="270"/>
        </w:tabs>
        <w:ind w:left="720" w:hanging="270"/>
      </w:pPr>
      <w:proofErr w:type="gramStart"/>
      <w:r>
        <w:t>n</w:t>
      </w:r>
      <w:r w:rsidR="006C4551" w:rsidRPr="006C4551">
        <w:t>on</w:t>
      </w:r>
      <w:r>
        <w:t>-</w:t>
      </w:r>
      <w:r w:rsidR="006C4551" w:rsidRPr="006C4551">
        <w:t>purchase-money</w:t>
      </w:r>
      <w:proofErr w:type="gramEnd"/>
      <w:r w:rsidR="006C4551" w:rsidRPr="006C4551">
        <w:t xml:space="preserve"> security interests</w:t>
      </w:r>
      <w:r w:rsidR="006C4551">
        <w:t>:</w:t>
      </w:r>
    </w:p>
    <w:p w:rsidR="00235117" w:rsidRDefault="00235117" w:rsidP="00FD30C2">
      <w:pPr>
        <w:widowControl/>
        <w:ind w:firstLine="720"/>
      </w:pPr>
    </w:p>
    <w:p w:rsidR="00D42898" w:rsidRDefault="00D42898" w:rsidP="00D42898">
      <w:pPr>
        <w:widowControl/>
        <w:ind w:firstLine="720"/>
      </w:pPr>
      <w:r>
        <w:t>[</w:t>
      </w:r>
      <w:r w:rsidRPr="00D42898">
        <w:rPr>
          <w:i/>
          <w:sz w:val="20"/>
          <w:szCs w:val="20"/>
        </w:rPr>
        <w:t xml:space="preserve">Note: Include the Respondent’s lien/interest </w:t>
      </w:r>
      <w:r>
        <w:rPr>
          <w:i/>
          <w:sz w:val="20"/>
          <w:szCs w:val="20"/>
        </w:rPr>
        <w:t>in chart</w:t>
      </w:r>
      <w:r w:rsidRPr="00D42898">
        <w:rPr>
          <w:i/>
          <w:sz w:val="20"/>
          <w:szCs w:val="20"/>
        </w:rPr>
        <w:t>.</w:t>
      </w:r>
      <w:r>
        <w:t>]</w:t>
      </w:r>
    </w:p>
    <w:p w:rsidR="00485F0E" w:rsidRDefault="00485F0E" w:rsidP="00D42898">
      <w:pPr>
        <w:widowControl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5"/>
        <w:gridCol w:w="1625"/>
        <w:gridCol w:w="2124"/>
        <w:gridCol w:w="2088"/>
      </w:tblGrid>
      <w:tr w:rsidR="00235117" w:rsidTr="006516B0">
        <w:tc>
          <w:tcPr>
            <w:tcW w:w="1908" w:type="dxa"/>
            <w:shd w:val="clear" w:color="auto" w:fill="auto"/>
          </w:tcPr>
          <w:p w:rsidR="00235117" w:rsidRPr="006516B0" w:rsidRDefault="00235117" w:rsidP="006516B0">
            <w:pPr>
              <w:widowControl/>
              <w:jc w:val="both"/>
              <w:rPr>
                <w:sz w:val="20"/>
                <w:szCs w:val="20"/>
              </w:rPr>
            </w:pPr>
          </w:p>
          <w:p w:rsidR="00235117" w:rsidRPr="006516B0" w:rsidRDefault="00235117" w:rsidP="006516B0">
            <w:pPr>
              <w:widowControl/>
              <w:jc w:val="center"/>
              <w:rPr>
                <w:sz w:val="20"/>
                <w:szCs w:val="20"/>
              </w:rPr>
            </w:pPr>
            <w:r w:rsidRPr="006516B0">
              <w:rPr>
                <w:sz w:val="20"/>
                <w:szCs w:val="20"/>
              </w:rPr>
              <w:t>Type of lien/interest</w:t>
            </w:r>
          </w:p>
        </w:tc>
        <w:tc>
          <w:tcPr>
            <w:tcW w:w="2695" w:type="dxa"/>
            <w:shd w:val="clear" w:color="auto" w:fill="auto"/>
          </w:tcPr>
          <w:p w:rsidR="00235117" w:rsidRPr="006516B0" w:rsidRDefault="00235117" w:rsidP="006516B0">
            <w:pPr>
              <w:widowControl/>
              <w:jc w:val="both"/>
              <w:rPr>
                <w:sz w:val="20"/>
                <w:szCs w:val="20"/>
              </w:rPr>
            </w:pPr>
          </w:p>
          <w:p w:rsidR="00235117" w:rsidRPr="006516B0" w:rsidRDefault="00235117" w:rsidP="006516B0">
            <w:pPr>
              <w:widowControl/>
              <w:jc w:val="center"/>
              <w:rPr>
                <w:sz w:val="20"/>
                <w:szCs w:val="20"/>
              </w:rPr>
            </w:pPr>
            <w:r w:rsidRPr="006516B0">
              <w:rPr>
                <w:sz w:val="20"/>
                <w:szCs w:val="20"/>
              </w:rPr>
              <w:t>Holder of lien/interest</w:t>
            </w:r>
          </w:p>
        </w:tc>
        <w:tc>
          <w:tcPr>
            <w:tcW w:w="1625" w:type="dxa"/>
            <w:shd w:val="clear" w:color="auto" w:fill="auto"/>
          </w:tcPr>
          <w:p w:rsidR="00235117" w:rsidRPr="006516B0" w:rsidRDefault="00235117" w:rsidP="006516B0">
            <w:pPr>
              <w:widowControl/>
              <w:jc w:val="center"/>
              <w:rPr>
                <w:sz w:val="20"/>
                <w:szCs w:val="20"/>
              </w:rPr>
            </w:pPr>
            <w:r w:rsidRPr="006516B0">
              <w:rPr>
                <w:sz w:val="20"/>
                <w:szCs w:val="20"/>
              </w:rPr>
              <w:t>Date lien/interest originated/arose</w:t>
            </w:r>
          </w:p>
        </w:tc>
        <w:tc>
          <w:tcPr>
            <w:tcW w:w="2124" w:type="dxa"/>
            <w:shd w:val="clear" w:color="auto" w:fill="auto"/>
          </w:tcPr>
          <w:p w:rsidR="00235117" w:rsidRPr="006516B0" w:rsidRDefault="00235117" w:rsidP="006516B0">
            <w:pPr>
              <w:widowControl/>
              <w:jc w:val="center"/>
              <w:rPr>
                <w:sz w:val="20"/>
                <w:szCs w:val="20"/>
              </w:rPr>
            </w:pPr>
            <w:r w:rsidRPr="006516B0">
              <w:rPr>
                <w:sz w:val="20"/>
                <w:szCs w:val="20"/>
              </w:rPr>
              <w:t>Original amount</w:t>
            </w:r>
          </w:p>
          <w:p w:rsidR="00235117" w:rsidRPr="006516B0" w:rsidRDefault="00235117" w:rsidP="006516B0">
            <w:pPr>
              <w:widowControl/>
              <w:jc w:val="center"/>
              <w:rPr>
                <w:sz w:val="20"/>
                <w:szCs w:val="20"/>
              </w:rPr>
            </w:pPr>
            <w:r w:rsidRPr="006516B0">
              <w:rPr>
                <w:sz w:val="20"/>
                <w:szCs w:val="20"/>
              </w:rPr>
              <w:t>of lien/interest</w:t>
            </w:r>
          </w:p>
        </w:tc>
        <w:tc>
          <w:tcPr>
            <w:tcW w:w="2088" w:type="dxa"/>
            <w:shd w:val="clear" w:color="auto" w:fill="auto"/>
          </w:tcPr>
          <w:p w:rsidR="00235117" w:rsidRPr="006516B0" w:rsidRDefault="00235117" w:rsidP="006516B0">
            <w:pPr>
              <w:widowControl/>
              <w:jc w:val="center"/>
              <w:rPr>
                <w:sz w:val="20"/>
                <w:szCs w:val="20"/>
              </w:rPr>
            </w:pPr>
            <w:r w:rsidRPr="006516B0">
              <w:rPr>
                <w:sz w:val="20"/>
                <w:szCs w:val="20"/>
              </w:rPr>
              <w:t>Outstanding balance</w:t>
            </w:r>
          </w:p>
          <w:p w:rsidR="00235117" w:rsidRPr="006516B0" w:rsidRDefault="00235117" w:rsidP="006516B0">
            <w:pPr>
              <w:widowControl/>
              <w:jc w:val="center"/>
              <w:rPr>
                <w:sz w:val="20"/>
                <w:szCs w:val="20"/>
              </w:rPr>
            </w:pPr>
            <w:r w:rsidRPr="006516B0">
              <w:rPr>
                <w:sz w:val="20"/>
                <w:szCs w:val="20"/>
              </w:rPr>
              <w:t>of lien/interest</w:t>
            </w:r>
          </w:p>
        </w:tc>
      </w:tr>
      <w:tr w:rsidR="00235117" w:rsidTr="006516B0">
        <w:trPr>
          <w:trHeight w:val="557"/>
        </w:trPr>
        <w:tc>
          <w:tcPr>
            <w:tcW w:w="1908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695" w:type="dxa"/>
            <w:shd w:val="clear" w:color="auto" w:fill="auto"/>
          </w:tcPr>
          <w:p w:rsidR="00235117" w:rsidRDefault="00235117" w:rsidP="00B16D1F">
            <w:pPr>
              <w:widowControl/>
            </w:pPr>
          </w:p>
        </w:tc>
        <w:tc>
          <w:tcPr>
            <w:tcW w:w="1625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124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088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</w:tr>
      <w:tr w:rsidR="00235117" w:rsidTr="006516B0">
        <w:trPr>
          <w:trHeight w:val="530"/>
        </w:trPr>
        <w:tc>
          <w:tcPr>
            <w:tcW w:w="1908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695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1625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124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088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</w:tr>
      <w:tr w:rsidR="00235117" w:rsidTr="006516B0">
        <w:trPr>
          <w:trHeight w:val="521"/>
        </w:trPr>
        <w:tc>
          <w:tcPr>
            <w:tcW w:w="1908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695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1625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124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  <w:tc>
          <w:tcPr>
            <w:tcW w:w="2088" w:type="dxa"/>
            <w:shd w:val="clear" w:color="auto" w:fill="auto"/>
          </w:tcPr>
          <w:p w:rsidR="00235117" w:rsidRDefault="00235117" w:rsidP="006516B0">
            <w:pPr>
              <w:widowControl/>
              <w:jc w:val="both"/>
            </w:pPr>
          </w:p>
        </w:tc>
      </w:tr>
    </w:tbl>
    <w:p w:rsidR="00A56251" w:rsidRDefault="00A56251" w:rsidP="004A1597">
      <w:pPr>
        <w:widowControl/>
        <w:jc w:val="both"/>
      </w:pPr>
    </w:p>
    <w:p w:rsidR="00485F0E" w:rsidRDefault="00485F0E" w:rsidP="004A1597">
      <w:pPr>
        <w:widowControl/>
        <w:jc w:val="both"/>
      </w:pPr>
    </w:p>
    <w:p w:rsidR="002D5501" w:rsidRDefault="002D5501" w:rsidP="004A1597">
      <w:pPr>
        <w:widowControl/>
        <w:jc w:val="both"/>
      </w:pPr>
    </w:p>
    <w:p w:rsidR="00FD30C2" w:rsidRDefault="00FD30C2" w:rsidP="004A1597">
      <w:pPr>
        <w:widowControl/>
        <w:jc w:val="both"/>
      </w:pPr>
    </w:p>
    <w:p w:rsidR="00485F0E" w:rsidRDefault="007055A4" w:rsidP="00B16D1F">
      <w:pPr>
        <w:widowControl/>
        <w:ind w:left="720" w:hanging="720"/>
      </w:pPr>
      <w:r>
        <w:t>6</w:t>
      </w:r>
      <w:r w:rsidR="00682372">
        <w:t>.</w:t>
      </w:r>
      <w:r w:rsidR="00682372">
        <w:tab/>
        <w:t xml:space="preserve">Respondent’s </w:t>
      </w:r>
      <w:r w:rsidR="00682372" w:rsidRPr="00682372">
        <w:t>interest</w:t>
      </w:r>
      <w:r>
        <w:t xml:space="preserve"> in the Property is </w:t>
      </w:r>
      <w:r w:rsidR="00682372">
        <w:t>not a statutory lien.</w:t>
      </w:r>
    </w:p>
    <w:p w:rsidR="00682372" w:rsidRPr="00682372" w:rsidRDefault="00682372" w:rsidP="00B16D1F">
      <w:pPr>
        <w:widowControl/>
      </w:pPr>
    </w:p>
    <w:p w:rsidR="00A56251" w:rsidRDefault="00682372" w:rsidP="00B16D1F">
      <w:pPr>
        <w:widowControl/>
      </w:pPr>
      <w:r>
        <w:t>7</w:t>
      </w:r>
      <w:r w:rsidR="00A56251">
        <w:t>.</w:t>
      </w:r>
      <w:r w:rsidR="00A56251">
        <w:tab/>
        <w:t>Section 522(f</w:t>
      </w:r>
      <w:proofErr w:type="gramStart"/>
      <w:r w:rsidR="00A56251">
        <w:t>)(</w:t>
      </w:r>
      <w:proofErr w:type="gramEnd"/>
      <w:r w:rsidR="00A56251">
        <w:t>2)(A) of the Bankruptcy Code provides:</w:t>
      </w:r>
    </w:p>
    <w:p w:rsidR="00D7308C" w:rsidRDefault="00D7308C" w:rsidP="00B16D1F">
      <w:pPr>
        <w:widowControl/>
      </w:pPr>
    </w:p>
    <w:p w:rsidR="00D7308C" w:rsidRDefault="00A56251" w:rsidP="00B16D1F">
      <w:pPr>
        <w:widowControl/>
        <w:ind w:left="720" w:right="720"/>
      </w:pPr>
      <w:r>
        <w:t>A lien shall be considered to impair an exemption to the extent that the sum of</w:t>
      </w:r>
      <w:r w:rsidR="00D7308C">
        <w:t>—</w:t>
      </w:r>
    </w:p>
    <w:p w:rsidR="00D7308C" w:rsidRDefault="00D7308C" w:rsidP="00B16D1F">
      <w:pPr>
        <w:widowControl/>
        <w:ind w:left="1440" w:right="1440"/>
      </w:pPr>
      <w:r>
        <w:t>(</w:t>
      </w:r>
      <w:r w:rsidR="00A56251">
        <w:t xml:space="preserve">i) </w:t>
      </w:r>
      <w:proofErr w:type="gramStart"/>
      <w:r w:rsidR="00A56251">
        <w:t>the</w:t>
      </w:r>
      <w:proofErr w:type="gramEnd"/>
      <w:r w:rsidR="00A56251">
        <w:t xml:space="preserve"> lien;</w:t>
      </w:r>
    </w:p>
    <w:p w:rsidR="00D7308C" w:rsidRDefault="00A56251" w:rsidP="00B16D1F">
      <w:pPr>
        <w:widowControl/>
        <w:ind w:left="1440" w:right="1440"/>
      </w:pPr>
      <w:r>
        <w:t xml:space="preserve">(ii) </w:t>
      </w:r>
      <w:proofErr w:type="gramStart"/>
      <w:r>
        <w:t>all</w:t>
      </w:r>
      <w:proofErr w:type="gramEnd"/>
      <w:r>
        <w:t xml:space="preserve"> other liens on the property; and</w:t>
      </w:r>
    </w:p>
    <w:p w:rsidR="00D7308C" w:rsidRDefault="00A56251" w:rsidP="00B16D1F">
      <w:pPr>
        <w:widowControl/>
        <w:ind w:left="1440" w:right="1440"/>
      </w:pPr>
      <w:r>
        <w:t xml:space="preserve">(iii) </w:t>
      </w:r>
      <w:proofErr w:type="gramStart"/>
      <w:r>
        <w:t>the</w:t>
      </w:r>
      <w:proofErr w:type="gramEnd"/>
      <w:r>
        <w:t xml:space="preserve"> amount of the exemption that the debtor could claim if there were no liens on the property;</w:t>
      </w:r>
    </w:p>
    <w:p w:rsidR="004A1597" w:rsidRDefault="00A56251" w:rsidP="00B16D1F">
      <w:pPr>
        <w:widowControl/>
        <w:ind w:left="720" w:right="720"/>
      </w:pPr>
      <w:proofErr w:type="gramStart"/>
      <w:r>
        <w:t>exceeds</w:t>
      </w:r>
      <w:proofErr w:type="gramEnd"/>
      <w:r>
        <w:t xml:space="preserve"> the value that the debtor’s interest in the property would have in the absence of any liens.</w:t>
      </w:r>
    </w:p>
    <w:p w:rsidR="00D7308C" w:rsidRDefault="00D7308C" w:rsidP="00B16D1F">
      <w:pPr>
        <w:widowControl/>
        <w:ind w:left="720" w:right="720"/>
      </w:pPr>
      <w:r>
        <w:tab/>
      </w:r>
    </w:p>
    <w:p w:rsidR="00A56251" w:rsidRDefault="00A56251" w:rsidP="00B16D1F">
      <w:pPr>
        <w:widowControl/>
        <w:ind w:left="720"/>
      </w:pPr>
      <w:r>
        <w:t>Section 522(f)(2)(B) provides that “[i]n the case of a property subject to more than 1 lien, a lien that has been avoided shall not be considered in making the calculation under subparagraph (a) with respect to other liens.”</w:t>
      </w:r>
    </w:p>
    <w:p w:rsidR="00D7308C" w:rsidRDefault="00D7308C" w:rsidP="00B16D1F">
      <w:pPr>
        <w:widowControl/>
      </w:pPr>
    </w:p>
    <w:p w:rsidR="00D7308C" w:rsidRDefault="00682372" w:rsidP="00B16D1F">
      <w:pPr>
        <w:widowControl/>
        <w:ind w:left="720" w:hanging="720"/>
      </w:pPr>
      <w:r>
        <w:t>8</w:t>
      </w:r>
      <w:r w:rsidR="00D7308C">
        <w:t>.</w:t>
      </w:r>
      <w:r w:rsidR="00D7308C">
        <w:tab/>
        <w:t>Following the formula set forth in § 522(f</w:t>
      </w:r>
      <w:proofErr w:type="gramStart"/>
      <w:r w:rsidR="00D7308C">
        <w:t>)(</w:t>
      </w:r>
      <w:proofErr w:type="gramEnd"/>
      <w:r w:rsidR="00D7308C">
        <w:t>2)</w:t>
      </w:r>
      <w:r w:rsidR="00390471">
        <w:t>(A)</w:t>
      </w:r>
      <w:r w:rsidR="00D7308C">
        <w:t xml:space="preserve"> for determining whether a lien impairs an exemption, the </w:t>
      </w:r>
      <w:r w:rsidR="001E7445">
        <w:t>d</w:t>
      </w:r>
      <w:r w:rsidR="00D7308C">
        <w:t>ebtor:</w:t>
      </w:r>
    </w:p>
    <w:p w:rsidR="00D22C25" w:rsidRDefault="00D22C25" w:rsidP="00B16D1F">
      <w:pPr>
        <w:widowControl/>
      </w:pPr>
    </w:p>
    <w:p w:rsidR="00D22C25" w:rsidRDefault="00D22C25" w:rsidP="00B16D1F">
      <w:pPr>
        <w:widowControl/>
      </w:pPr>
      <w:r>
        <w:tab/>
        <w:t xml:space="preserve">Adds the lien </w:t>
      </w:r>
      <w:proofErr w:type="gramStart"/>
      <w:r>
        <w:t>being tested</w:t>
      </w:r>
      <w:proofErr w:type="gramEnd"/>
      <w:r>
        <w:t xml:space="preserve"> for avoidance:</w:t>
      </w:r>
      <w:r w:rsidR="00D32EB1">
        <w:tab/>
      </w:r>
      <w:r w:rsidR="00D32EB1">
        <w:tab/>
      </w:r>
      <w:r w:rsidR="00D32EB1">
        <w:tab/>
      </w:r>
      <w:r w:rsidR="00D32EB1">
        <w:tab/>
        <w:t>+ $ _________________</w:t>
      </w:r>
    </w:p>
    <w:p w:rsidR="00D22C25" w:rsidRDefault="00D22C25" w:rsidP="00B16D1F">
      <w:pPr>
        <w:widowControl/>
      </w:pPr>
      <w:r>
        <w:tab/>
      </w:r>
      <w:r w:rsidR="002565D6">
        <w:t xml:space="preserve">Adds </w:t>
      </w:r>
      <w:r w:rsidR="00235117">
        <w:t>a</w:t>
      </w:r>
      <w:r>
        <w:t>ll other liens:</w:t>
      </w:r>
      <w:r w:rsidR="00D32EB1">
        <w:tab/>
      </w:r>
      <w:r w:rsidR="00D32EB1">
        <w:tab/>
      </w:r>
      <w:r w:rsidR="00D32EB1">
        <w:tab/>
      </w:r>
      <w:r w:rsidR="00D32EB1">
        <w:tab/>
      </w:r>
      <w:r w:rsidR="00D32EB1">
        <w:tab/>
      </w:r>
      <w:r w:rsidR="00D32EB1">
        <w:tab/>
      </w:r>
      <w:r w:rsidR="00D32EB1">
        <w:tab/>
        <w:t>+ $ _________________</w:t>
      </w:r>
    </w:p>
    <w:p w:rsidR="00D22C25" w:rsidRDefault="00D22C25" w:rsidP="00B16D1F">
      <w:pPr>
        <w:widowControl/>
      </w:pPr>
      <w:r>
        <w:tab/>
      </w:r>
      <w:r w:rsidR="002565D6">
        <w:t>Adds t</w:t>
      </w:r>
      <w:r>
        <w:t>he maximum exemption allowable in the absence of liens:</w:t>
      </w:r>
      <w:r w:rsidR="00D32EB1">
        <w:tab/>
        <w:t>+ $ _________________</w:t>
      </w:r>
    </w:p>
    <w:p w:rsidR="00D22C25" w:rsidRDefault="00D22C25" w:rsidP="00B16D1F">
      <w:pPr>
        <w:widowControl/>
      </w:pPr>
      <w:r>
        <w:tab/>
      </w:r>
      <w:r w:rsidR="002565D6">
        <w:t>Totaling</w:t>
      </w:r>
      <w:r>
        <w:t>:</w:t>
      </w:r>
      <w:r w:rsidR="002565D6">
        <w:tab/>
      </w:r>
      <w:r w:rsidR="00D32EB1">
        <w:tab/>
      </w:r>
      <w:r w:rsidR="00D32EB1">
        <w:tab/>
      </w:r>
      <w:r w:rsidR="00D32EB1">
        <w:tab/>
      </w:r>
      <w:r w:rsidR="00D32EB1">
        <w:tab/>
      </w:r>
      <w:r w:rsidR="00D32EB1">
        <w:tab/>
      </w:r>
      <w:r w:rsidR="00D32EB1">
        <w:tab/>
      </w:r>
      <w:r w:rsidR="00D32EB1">
        <w:tab/>
        <w:t>= $ _________________</w:t>
      </w:r>
    </w:p>
    <w:p w:rsidR="00D22C25" w:rsidRDefault="00D22C25" w:rsidP="00B16D1F">
      <w:pPr>
        <w:widowControl/>
      </w:pPr>
      <w:r>
        <w:tab/>
      </w:r>
      <w:r w:rsidR="002565D6" w:rsidRPr="00485F0E">
        <w:rPr>
          <w:i/>
        </w:rPr>
        <w:t>Then</w:t>
      </w:r>
      <w:r w:rsidR="002565D6">
        <w:t>, f</w:t>
      </w:r>
      <w:r>
        <w:t>rom th</w:t>
      </w:r>
      <w:r w:rsidR="003C4FD7">
        <w:t xml:space="preserve">is </w:t>
      </w:r>
      <w:r w:rsidR="002565D6">
        <w:t xml:space="preserve">total </w:t>
      </w:r>
      <w:r>
        <w:t>sum,</w:t>
      </w:r>
    </w:p>
    <w:p w:rsidR="00D22C25" w:rsidRDefault="00D22C25" w:rsidP="00B16D1F">
      <w:pPr>
        <w:widowControl/>
      </w:pPr>
      <w:r>
        <w:tab/>
        <w:t>Subtract</w:t>
      </w:r>
      <w:r w:rsidR="002565D6">
        <w:t>s</w:t>
      </w:r>
      <w:r>
        <w:t xml:space="preserve"> the value of the Property absent any liens:</w:t>
      </w:r>
      <w:r w:rsidR="00D32EB1">
        <w:tab/>
      </w:r>
      <w:r w:rsidR="002565D6">
        <w:tab/>
      </w:r>
      <w:r w:rsidR="00D32EB1">
        <w:t xml:space="preserve">       </w:t>
      </w:r>
      <w:proofErr w:type="gramStart"/>
      <w:r w:rsidR="00D32EB1" w:rsidRPr="00D32EB1">
        <w:rPr>
          <w:i/>
        </w:rPr>
        <w:t>less</w:t>
      </w:r>
      <w:r w:rsidR="00D32EB1" w:rsidRPr="00D32EB1">
        <w:t xml:space="preserve">  </w:t>
      </w:r>
      <w:r w:rsidR="00D32EB1">
        <w:t>$</w:t>
      </w:r>
      <w:proofErr w:type="gramEnd"/>
      <w:r w:rsidR="00D32EB1">
        <w:t xml:space="preserve"> _________________</w:t>
      </w:r>
    </w:p>
    <w:p w:rsidR="00451F44" w:rsidRDefault="00D22C25" w:rsidP="00B16D1F">
      <w:pPr>
        <w:widowControl/>
      </w:pPr>
      <w:r>
        <w:tab/>
      </w:r>
      <w:r w:rsidR="002565D6">
        <w:t>To d</w:t>
      </w:r>
      <w:r w:rsidR="00D32EB1">
        <w:t>etermin</w:t>
      </w:r>
      <w:r w:rsidR="002565D6">
        <w:t>e</w:t>
      </w:r>
      <w:r w:rsidR="00D32EB1">
        <w:t xml:space="preserve"> the extent of the impairment:</w:t>
      </w:r>
      <w:r w:rsidR="00D32EB1">
        <w:tab/>
      </w:r>
      <w:r w:rsidR="00D32EB1">
        <w:tab/>
      </w:r>
      <w:r w:rsidR="00D32EB1">
        <w:tab/>
        <w:t xml:space="preserve"> </w:t>
      </w:r>
      <w:r w:rsidR="00D32EB1">
        <w:tab/>
        <w:t xml:space="preserve">= $ </w:t>
      </w:r>
      <w:r w:rsidR="00092F4A">
        <w:t>_________________.</w:t>
      </w:r>
    </w:p>
    <w:p w:rsidR="00092F4A" w:rsidRDefault="00092F4A" w:rsidP="00B16D1F">
      <w:pPr>
        <w:widowControl/>
      </w:pPr>
    </w:p>
    <w:p w:rsidR="00D22C25" w:rsidRDefault="00682372" w:rsidP="00B16D1F">
      <w:pPr>
        <w:widowControl/>
        <w:ind w:left="720" w:hanging="720"/>
      </w:pPr>
      <w:r>
        <w:t>9</w:t>
      </w:r>
      <w:r w:rsidR="00D22C25">
        <w:t>.</w:t>
      </w:r>
      <w:r w:rsidR="00D22C25">
        <w:tab/>
        <w:t>Since the extent of the impairment o</w:t>
      </w:r>
      <w:r w:rsidR="002565D6">
        <w:t>f</w:t>
      </w:r>
      <w:r w:rsidR="00D22C25">
        <w:t xml:space="preserve"> the exemption, $</w:t>
      </w:r>
      <w:r w:rsidR="00CC4EB7">
        <w:t xml:space="preserve"> _______________</w:t>
      </w:r>
      <w:r w:rsidR="00D22C25">
        <w:t>, exceeds the entire value of Respondent’s lien, $</w:t>
      </w:r>
      <w:r w:rsidR="00CC4EB7">
        <w:t xml:space="preserve"> _______________</w:t>
      </w:r>
      <w:r w:rsidR="00D22C25">
        <w:t>, the entire lien is avoidable.</w:t>
      </w:r>
    </w:p>
    <w:p w:rsidR="003C4FD7" w:rsidRDefault="003C4FD7" w:rsidP="00B16D1F">
      <w:pPr>
        <w:widowControl/>
      </w:pPr>
    </w:p>
    <w:p w:rsidR="00D22C25" w:rsidRPr="00A142D9" w:rsidRDefault="00D32EB1" w:rsidP="00940966">
      <w:pPr>
        <w:widowControl/>
        <w:jc w:val="center"/>
        <w:rPr>
          <w:b/>
        </w:rPr>
      </w:pPr>
      <w:r w:rsidRPr="00A142D9">
        <w:rPr>
          <w:b/>
        </w:rPr>
        <w:t>—</w:t>
      </w:r>
      <w:r w:rsidR="00D22C25" w:rsidRPr="00A142D9">
        <w:rPr>
          <w:b/>
        </w:rPr>
        <w:t xml:space="preserve"> OR </w:t>
      </w:r>
      <w:r w:rsidRPr="00A142D9">
        <w:rPr>
          <w:b/>
        </w:rPr>
        <w:t>—</w:t>
      </w:r>
    </w:p>
    <w:p w:rsidR="003C4FD7" w:rsidRDefault="003C4FD7" w:rsidP="00B16D1F">
      <w:pPr>
        <w:widowControl/>
      </w:pPr>
    </w:p>
    <w:p w:rsidR="00D22C25" w:rsidRDefault="00D22C25" w:rsidP="00B16D1F">
      <w:pPr>
        <w:widowControl/>
        <w:numPr>
          <w:ilvl w:val="0"/>
          <w:numId w:val="12"/>
        </w:numPr>
        <w:tabs>
          <w:tab w:val="clear" w:pos="360"/>
          <w:tab w:val="num" w:pos="720"/>
        </w:tabs>
        <w:ind w:left="720" w:hanging="810"/>
      </w:pPr>
      <w:r>
        <w:t>Since the extent of the impairment</w:t>
      </w:r>
      <w:r w:rsidR="00D32EB1">
        <w:t xml:space="preserve"> on the exemption, $</w:t>
      </w:r>
      <w:r w:rsidR="00CC4EB7">
        <w:t xml:space="preserve"> __________</w:t>
      </w:r>
      <w:r w:rsidR="00D32EB1">
        <w:t xml:space="preserve">, is less than the entire value of the lien, $ </w:t>
      </w:r>
      <w:r w:rsidR="00CC4EB7">
        <w:t>________,</w:t>
      </w:r>
      <w:r w:rsidR="00D32EB1">
        <w:t xml:space="preserve"> the Respondent’s lien can be avoided only to the extent of the impairment of the exemption, $ </w:t>
      </w:r>
      <w:r w:rsidR="00CC4EB7">
        <w:t>__________,</w:t>
      </w:r>
      <w:r w:rsidR="00D42898">
        <w:t xml:space="preserve"> and the balance of</w:t>
      </w:r>
      <w:r w:rsidR="00734FED">
        <w:t xml:space="preserve"> </w:t>
      </w:r>
      <w:r w:rsidR="00D32EB1">
        <w:t xml:space="preserve">$ </w:t>
      </w:r>
      <w:r w:rsidR="00CC4EB7">
        <w:t>________</w:t>
      </w:r>
      <w:r w:rsidR="00D32EB1">
        <w:t xml:space="preserve"> remains as a lien</w:t>
      </w:r>
      <w:r w:rsidR="00734FED">
        <w:t xml:space="preserve"> on the Property</w:t>
      </w:r>
      <w:r w:rsidR="00D32EB1">
        <w:t>.</w:t>
      </w:r>
    </w:p>
    <w:p w:rsidR="00D32EB1" w:rsidRDefault="00D32EB1" w:rsidP="00B16D1F">
      <w:pPr>
        <w:widowControl/>
      </w:pPr>
    </w:p>
    <w:p w:rsidR="000E131E" w:rsidRDefault="00D32EB1" w:rsidP="00B16D1F">
      <w:pPr>
        <w:widowControl/>
      </w:pPr>
      <w:r>
        <w:tab/>
      </w:r>
      <w:r w:rsidRPr="000E131E">
        <w:rPr>
          <w:b/>
        </w:rPr>
        <w:t>WHEREFORE</w:t>
      </w:r>
      <w:r>
        <w:t xml:space="preserve">, the </w:t>
      </w:r>
      <w:r w:rsidR="00734FED">
        <w:t>d</w:t>
      </w:r>
      <w:r>
        <w:t>ebtor requests this Court enter an order</w:t>
      </w:r>
      <w:r w:rsidR="00B16D1F">
        <w:t xml:space="preserve"> </w:t>
      </w:r>
    </w:p>
    <w:p w:rsidR="000E131E" w:rsidRDefault="002565D6" w:rsidP="00067EE7">
      <w:pPr>
        <w:widowControl/>
        <w:numPr>
          <w:ilvl w:val="0"/>
          <w:numId w:val="13"/>
        </w:numPr>
      </w:pPr>
      <w:r>
        <w:t xml:space="preserve">avoiding </w:t>
      </w:r>
      <w:r w:rsidR="00390471">
        <w:t>the</w:t>
      </w:r>
      <w:r w:rsidR="00DC097E">
        <w:t xml:space="preserve"> </w:t>
      </w:r>
      <w:r w:rsidR="00DC097E" w:rsidRPr="00B16D1F">
        <w:t>[</w:t>
      </w:r>
      <w:r w:rsidR="00DC097E" w:rsidRPr="000E131E">
        <w:rPr>
          <w:i/>
        </w:rPr>
        <w:t>judicial lien</w:t>
      </w:r>
      <w:r w:rsidR="000E131E">
        <w:rPr>
          <w:i/>
        </w:rPr>
        <w:t xml:space="preserve"> </w:t>
      </w:r>
      <w:r w:rsidR="00DC097E" w:rsidRPr="000E131E">
        <w:rPr>
          <w:i/>
        </w:rPr>
        <w:t xml:space="preserve">or nonpossessory, </w:t>
      </w:r>
      <w:proofErr w:type="spellStart"/>
      <w:r w:rsidR="00DC097E" w:rsidRPr="000E131E">
        <w:rPr>
          <w:i/>
        </w:rPr>
        <w:t>nonpurchase</w:t>
      </w:r>
      <w:proofErr w:type="spellEnd"/>
      <w:r w:rsidR="00DC097E" w:rsidRPr="000E131E">
        <w:rPr>
          <w:i/>
        </w:rPr>
        <w:t xml:space="preserve">-money security </w:t>
      </w:r>
      <w:r w:rsidR="000E131E" w:rsidRPr="000E131E">
        <w:rPr>
          <w:i/>
        </w:rPr>
        <w:t>interest</w:t>
      </w:r>
      <w:r w:rsidR="00DC097E" w:rsidRPr="0051562C">
        <w:t>]</w:t>
      </w:r>
      <w:r w:rsidR="00B16D1F" w:rsidRPr="0051562C">
        <w:t xml:space="preserve"> </w:t>
      </w:r>
      <w:r>
        <w:t>held by</w:t>
      </w:r>
      <w:r w:rsidR="00DC097E">
        <w:t xml:space="preserve"> </w:t>
      </w:r>
      <w:r w:rsidR="00DC097E" w:rsidRPr="00B16D1F">
        <w:t>[</w:t>
      </w:r>
      <w:r w:rsidR="00DC097E" w:rsidRPr="000E131E">
        <w:rPr>
          <w:i/>
        </w:rPr>
        <w:t xml:space="preserve">name of </w:t>
      </w:r>
      <w:r w:rsidR="00734FED" w:rsidRPr="000E131E">
        <w:rPr>
          <w:i/>
        </w:rPr>
        <w:t>R</w:t>
      </w:r>
      <w:r w:rsidR="00DC097E" w:rsidRPr="000E131E">
        <w:rPr>
          <w:i/>
        </w:rPr>
        <w:t>espondent</w:t>
      </w:r>
      <w:r w:rsidR="00DC097E" w:rsidRPr="00B16D1F">
        <w:t>]</w:t>
      </w:r>
      <w:r w:rsidR="00B16D1F">
        <w:t xml:space="preserve"> </w:t>
      </w:r>
      <w:r>
        <w:t>on the Property</w:t>
      </w:r>
      <w:r w:rsidR="000E131E">
        <w:t>,</w:t>
      </w:r>
      <w:r>
        <w:t xml:space="preserve"> in the amount of $ </w:t>
      </w:r>
      <w:r w:rsidR="000E131E">
        <w:t>________;</w:t>
      </w:r>
      <w:r>
        <w:t xml:space="preserve"> and </w:t>
      </w:r>
    </w:p>
    <w:p w:rsidR="002565D6" w:rsidRDefault="002565D6" w:rsidP="000E131E">
      <w:pPr>
        <w:widowControl/>
        <w:ind w:firstLine="720"/>
      </w:pPr>
      <w:r>
        <w:t xml:space="preserve">(B) </w:t>
      </w:r>
      <w:r w:rsidR="000E131E">
        <w:tab/>
      </w:r>
      <w:proofErr w:type="gramStart"/>
      <w:r>
        <w:t>granting</w:t>
      </w:r>
      <w:proofErr w:type="gramEnd"/>
      <w:r>
        <w:t xml:space="preserve"> other</w:t>
      </w:r>
      <w:r w:rsidR="00D954D8">
        <w:t xml:space="preserve"> relief</w:t>
      </w:r>
      <w:r>
        <w:t xml:space="preserve"> </w:t>
      </w:r>
      <w:r w:rsidR="00734FED">
        <w:t>[</w:t>
      </w:r>
      <w:r w:rsidR="00734FED" w:rsidRPr="00B16D1F">
        <w:rPr>
          <w:i/>
        </w:rPr>
        <w:t>specify</w:t>
      </w:r>
      <w:r w:rsidR="00734FED" w:rsidRPr="0051562C">
        <w:t>]</w:t>
      </w:r>
      <w:r w:rsidRPr="0051562C">
        <w:t>.</w:t>
      </w:r>
    </w:p>
    <w:p w:rsidR="00B16D1F" w:rsidRDefault="002565D6" w:rsidP="00B16D1F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471">
        <w:tab/>
      </w:r>
    </w:p>
    <w:p w:rsidR="00FB496B" w:rsidRDefault="002565D6" w:rsidP="00B16D1F">
      <w:pPr>
        <w:widowControl/>
        <w:ind w:left="5040" w:firstLine="720"/>
      </w:pPr>
      <w:r>
        <w:t>Respectfully submitted,</w:t>
      </w:r>
    </w:p>
    <w:p w:rsidR="00B16D1F" w:rsidRDefault="002565D6" w:rsidP="00B16D1F">
      <w:pPr>
        <w:tabs>
          <w:tab w:val="left" w:pos="0"/>
        </w:tabs>
        <w:contextualSpacing/>
        <w:rPr>
          <w:bCs/>
        </w:rPr>
      </w:pPr>
      <w:r>
        <w:tab/>
      </w:r>
      <w:r>
        <w:tab/>
      </w:r>
      <w:r w:rsidR="00390471">
        <w:tab/>
      </w:r>
      <w:r>
        <w:tab/>
      </w:r>
      <w:r>
        <w:tab/>
      </w:r>
      <w:r>
        <w:tab/>
      </w:r>
      <w:r>
        <w:tab/>
      </w:r>
      <w:r>
        <w:tab/>
      </w:r>
    </w:p>
    <w:p w:rsidR="00B16D1F" w:rsidRPr="00E50937" w:rsidRDefault="00B16D1F" w:rsidP="00B16D1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</w:rPr>
      </w:pPr>
      <w:r>
        <w:t>D</w:t>
      </w:r>
      <w:r w:rsidRPr="00E50937">
        <w:t>ated:</w:t>
      </w:r>
      <w:r>
        <w:t xml:space="preserve"> </w:t>
      </w:r>
      <w:r w:rsidRPr="00E50937">
        <w:t xml:space="preserve">_____________________ </w:t>
      </w:r>
      <w:r w:rsidRPr="00E50937">
        <w:tab/>
      </w:r>
      <w:r w:rsidRPr="00E50937">
        <w:tab/>
      </w:r>
      <w:r w:rsidRPr="00E50937">
        <w:tab/>
      </w:r>
      <w:r w:rsidRPr="00E50937">
        <w:tab/>
      </w:r>
      <w:proofErr w:type="gramStart"/>
      <w:r w:rsidRPr="00E50937">
        <w:t>By</w:t>
      </w:r>
      <w:proofErr w:type="gramEnd"/>
      <w:r w:rsidRPr="00E50937">
        <w:t>: _________________________</w:t>
      </w:r>
    </w:p>
    <w:p w:rsidR="00B16D1F" w:rsidRPr="00E50937" w:rsidRDefault="00B16D1F" w:rsidP="00B16D1F">
      <w:pPr>
        <w:widowControl/>
        <w:ind w:left="5400" w:firstLine="720"/>
        <w:jc w:val="both"/>
      </w:pPr>
      <w:r w:rsidRPr="00E50937">
        <w:t>[</w:t>
      </w:r>
      <w:r w:rsidRPr="00E50937">
        <w:rPr>
          <w:i/>
        </w:rPr>
        <w:t>Signature</w:t>
      </w:r>
      <w:r w:rsidRPr="00031850">
        <w:t>]</w:t>
      </w:r>
    </w:p>
    <w:p w:rsidR="00451F44" w:rsidRPr="00D0307F" w:rsidRDefault="00B16D1F" w:rsidP="000E131E">
      <w:pPr>
        <w:widowControl/>
        <w:tabs>
          <w:tab w:val="left" w:pos="5040"/>
        </w:tabs>
        <w:ind w:left="6120"/>
      </w:pPr>
      <w:r w:rsidRPr="00D24583">
        <w:t>[</w:t>
      </w:r>
      <w:proofErr w:type="gramStart"/>
      <w:r w:rsidRPr="00E50937">
        <w:rPr>
          <w:i/>
        </w:rPr>
        <w:t>typed</w:t>
      </w:r>
      <w:proofErr w:type="gramEnd"/>
      <w:r w:rsidRPr="00E50937">
        <w:rPr>
          <w:i/>
        </w:rPr>
        <w:t xml:space="preserve"> name, with address, e-mail address, and telephone number</w:t>
      </w:r>
      <w:r w:rsidRPr="00D24583">
        <w:t>]</w:t>
      </w:r>
      <w:r w:rsidR="000E131E" w:rsidRPr="00D0307F">
        <w:t xml:space="preserve"> </w:t>
      </w:r>
    </w:p>
    <w:sectPr w:rsidR="00451F44" w:rsidRPr="00D0307F" w:rsidSect="00B16D1F">
      <w:headerReference w:type="default" r:id="rId8"/>
      <w:footnotePr>
        <w:numFmt w:val="chicago"/>
      </w:footnotePr>
      <w:pgSz w:w="12240" w:h="15840" w:code="1"/>
      <w:pgMar w:top="1008" w:right="1008" w:bottom="57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7E" w:rsidRDefault="00097A7E">
      <w:r>
        <w:separator/>
      </w:r>
    </w:p>
  </w:endnote>
  <w:endnote w:type="continuationSeparator" w:id="0">
    <w:p w:rsidR="00097A7E" w:rsidRDefault="0009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7E" w:rsidRDefault="00097A7E">
      <w:r>
        <w:separator/>
      </w:r>
    </w:p>
  </w:footnote>
  <w:footnote w:type="continuationSeparator" w:id="0">
    <w:p w:rsidR="00097A7E" w:rsidRDefault="00097A7E">
      <w:r>
        <w:continuationSeparator/>
      </w:r>
    </w:p>
  </w:footnote>
  <w:footnote w:id="1">
    <w:p w:rsidR="00940966" w:rsidRDefault="00940966" w:rsidP="009409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30C2">
        <w:t xml:space="preserve">This Form is to </w:t>
      </w:r>
      <w:proofErr w:type="gramStart"/>
      <w:r w:rsidRPr="00FD30C2">
        <w:t>be used</w:t>
      </w:r>
      <w:proofErr w:type="gramEnd"/>
      <w:r w:rsidRPr="00FD30C2">
        <w:t xml:space="preserve"> </w:t>
      </w:r>
      <w:r w:rsidRPr="00FD30C2">
        <w:rPr>
          <w:b/>
        </w:rPr>
        <w:t>ONLY</w:t>
      </w:r>
      <w:r w:rsidRPr="00FD30C2">
        <w:t xml:space="preserve"> in chapter 7 or 12 cases.  Motions to avoid a lien in a chapter 13 case </w:t>
      </w:r>
      <w:proofErr w:type="gramStart"/>
      <w:r w:rsidRPr="00FD30C2">
        <w:t>must be made</w:t>
      </w:r>
      <w:proofErr w:type="gramEnd"/>
      <w:r w:rsidRPr="00FD30C2">
        <w:t xml:space="preserve"> as part of the chapter 13 plan, using Official Form 113. </w:t>
      </w:r>
      <w:r w:rsidRPr="00FD30C2">
        <w:rPr>
          <w:u w:val="single"/>
        </w:rPr>
        <w:t>See</w:t>
      </w:r>
      <w:r w:rsidRPr="00FD30C2">
        <w:t xml:space="preserve"> Vt. LBR 3015-1</w:t>
      </w:r>
      <w:proofErr w:type="gramStart"/>
      <w:r w:rsidRPr="00FD30C2">
        <w:t>;</w:t>
      </w:r>
      <w:proofErr w:type="gramEnd"/>
      <w:r w:rsidRPr="00FD30C2">
        <w:t xml:space="preserve"> 4003-2(b)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D1" w:rsidRPr="00573517" w:rsidRDefault="00D734D1" w:rsidP="00D734D1">
    <w:pPr>
      <w:ind w:right="-330"/>
      <w:rPr>
        <w:sz w:val="20"/>
        <w:szCs w:val="16"/>
      </w:rPr>
    </w:pPr>
    <w:r w:rsidRPr="00573517">
      <w:rPr>
        <w:sz w:val="20"/>
        <w:szCs w:val="16"/>
      </w:rPr>
      <w:t>VTB Form N</w:t>
    </w:r>
    <w:r>
      <w:rPr>
        <w:sz w:val="20"/>
        <w:szCs w:val="16"/>
      </w:rPr>
      <w:t>1</w:t>
    </w:r>
  </w:p>
  <w:p w:rsidR="00D734D1" w:rsidRPr="00573517" w:rsidRDefault="00D734D1" w:rsidP="00D734D1">
    <w:pPr>
      <w:ind w:right="-330"/>
      <w:rPr>
        <w:sz w:val="20"/>
        <w:szCs w:val="16"/>
      </w:rPr>
    </w:pPr>
    <w:r>
      <w:rPr>
        <w:sz w:val="20"/>
        <w:szCs w:val="16"/>
      </w:rPr>
      <w:t>0</w:t>
    </w:r>
    <w:r w:rsidR="00335A93">
      <w:rPr>
        <w:sz w:val="20"/>
        <w:szCs w:val="16"/>
      </w:rPr>
      <w:t>4</w:t>
    </w:r>
    <w:r w:rsidRPr="00573517">
      <w:rPr>
        <w:sz w:val="20"/>
        <w:szCs w:val="16"/>
      </w:rPr>
      <w:t>/2018</w:t>
    </w:r>
  </w:p>
  <w:p w:rsidR="00D734D1" w:rsidRDefault="00D734D1" w:rsidP="00D734D1">
    <w:pPr>
      <w:ind w:right="-330"/>
      <w:rPr>
        <w:sz w:val="20"/>
        <w:szCs w:val="16"/>
      </w:rPr>
    </w:pPr>
    <w:r w:rsidRPr="00B46B04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4003-2(a)</w:t>
    </w:r>
  </w:p>
  <w:p w:rsidR="002D5501" w:rsidRPr="00D734D1" w:rsidRDefault="002D5501" w:rsidP="00D734D1">
    <w:pPr>
      <w:ind w:right="-330"/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119A9"/>
    <w:multiLevelType w:val="multilevel"/>
    <w:tmpl w:val="C3E6DFA0"/>
    <w:numStyleLink w:val="OUTLINE"/>
  </w:abstractNum>
  <w:abstractNum w:abstractNumId="3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418"/>
    <w:multiLevelType w:val="hybridMultilevel"/>
    <w:tmpl w:val="C00E5536"/>
    <w:lvl w:ilvl="0" w:tplc="55AC3CD2">
      <w:start w:val="1"/>
      <w:numFmt w:val="upp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851BF"/>
    <w:multiLevelType w:val="hybridMultilevel"/>
    <w:tmpl w:val="BF42EB12"/>
    <w:lvl w:ilvl="0" w:tplc="569E7AB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D6197A"/>
    <w:multiLevelType w:val="multilevel"/>
    <w:tmpl w:val="C3E6DFA0"/>
    <w:numStyleLink w:val="OUTLINE"/>
  </w:abstractNum>
  <w:abstractNum w:abstractNumId="12" w15:restartNumberingAfterBreak="0">
    <w:nsid w:val="74855E1E"/>
    <w:multiLevelType w:val="multilevel"/>
    <w:tmpl w:val="C3E6DFA0"/>
    <w:numStyleLink w:val="OUTLINE"/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14BC1"/>
    <w:rsid w:val="00023A1D"/>
    <w:rsid w:val="00026A07"/>
    <w:rsid w:val="00031850"/>
    <w:rsid w:val="000516F8"/>
    <w:rsid w:val="00076157"/>
    <w:rsid w:val="00092F4A"/>
    <w:rsid w:val="00097A7E"/>
    <w:rsid w:val="000E131E"/>
    <w:rsid w:val="00105BFA"/>
    <w:rsid w:val="00133CB2"/>
    <w:rsid w:val="001E7445"/>
    <w:rsid w:val="001F2E48"/>
    <w:rsid w:val="001F74BE"/>
    <w:rsid w:val="00203BDE"/>
    <w:rsid w:val="00204953"/>
    <w:rsid w:val="00211467"/>
    <w:rsid w:val="00235117"/>
    <w:rsid w:val="0024101E"/>
    <w:rsid w:val="002565D6"/>
    <w:rsid w:val="00266815"/>
    <w:rsid w:val="00273551"/>
    <w:rsid w:val="002D5501"/>
    <w:rsid w:val="00310407"/>
    <w:rsid w:val="00335784"/>
    <w:rsid w:val="00335A93"/>
    <w:rsid w:val="00343770"/>
    <w:rsid w:val="0036777C"/>
    <w:rsid w:val="00390471"/>
    <w:rsid w:val="003C4FD7"/>
    <w:rsid w:val="0044351E"/>
    <w:rsid w:val="00451F44"/>
    <w:rsid w:val="00460B49"/>
    <w:rsid w:val="004737B0"/>
    <w:rsid w:val="00485F0E"/>
    <w:rsid w:val="004A1597"/>
    <w:rsid w:val="004A4A63"/>
    <w:rsid w:val="004D001F"/>
    <w:rsid w:val="004D7C13"/>
    <w:rsid w:val="0051562C"/>
    <w:rsid w:val="00563098"/>
    <w:rsid w:val="00573517"/>
    <w:rsid w:val="005C7C13"/>
    <w:rsid w:val="00622B28"/>
    <w:rsid w:val="006516B0"/>
    <w:rsid w:val="0065680F"/>
    <w:rsid w:val="006763B0"/>
    <w:rsid w:val="00682372"/>
    <w:rsid w:val="006843BC"/>
    <w:rsid w:val="006B3B1B"/>
    <w:rsid w:val="006C4551"/>
    <w:rsid w:val="006F67FC"/>
    <w:rsid w:val="006F7654"/>
    <w:rsid w:val="00703822"/>
    <w:rsid w:val="007055A4"/>
    <w:rsid w:val="00734FED"/>
    <w:rsid w:val="00737178"/>
    <w:rsid w:val="007A082B"/>
    <w:rsid w:val="007A7279"/>
    <w:rsid w:val="007F049E"/>
    <w:rsid w:val="00801391"/>
    <w:rsid w:val="00940966"/>
    <w:rsid w:val="009A176B"/>
    <w:rsid w:val="00A002C0"/>
    <w:rsid w:val="00A05350"/>
    <w:rsid w:val="00A124F5"/>
    <w:rsid w:val="00A142D9"/>
    <w:rsid w:val="00A56251"/>
    <w:rsid w:val="00AA24D9"/>
    <w:rsid w:val="00AB1F31"/>
    <w:rsid w:val="00AD5019"/>
    <w:rsid w:val="00AF553C"/>
    <w:rsid w:val="00B16D1F"/>
    <w:rsid w:val="00B46B04"/>
    <w:rsid w:val="00B57B61"/>
    <w:rsid w:val="00BF574B"/>
    <w:rsid w:val="00C0356A"/>
    <w:rsid w:val="00C55D51"/>
    <w:rsid w:val="00C7041D"/>
    <w:rsid w:val="00C734AB"/>
    <w:rsid w:val="00CC4EB7"/>
    <w:rsid w:val="00D22C25"/>
    <w:rsid w:val="00D32EB1"/>
    <w:rsid w:val="00D42898"/>
    <w:rsid w:val="00D6034C"/>
    <w:rsid w:val="00D7308C"/>
    <w:rsid w:val="00D734D1"/>
    <w:rsid w:val="00D74A78"/>
    <w:rsid w:val="00D91785"/>
    <w:rsid w:val="00D954D8"/>
    <w:rsid w:val="00DC097E"/>
    <w:rsid w:val="00DC4735"/>
    <w:rsid w:val="00E14369"/>
    <w:rsid w:val="00E15475"/>
    <w:rsid w:val="00EB2FE9"/>
    <w:rsid w:val="00F83A56"/>
    <w:rsid w:val="00F94515"/>
    <w:rsid w:val="00F9728D"/>
    <w:rsid w:val="00FB496B"/>
    <w:rsid w:val="00FC144C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CCAC7"/>
  <w15:chartTrackingRefBased/>
  <w15:docId w15:val="{0088162F-D82A-4F3C-BA2D-4E5D694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3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351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FD30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D30C2"/>
  </w:style>
  <w:style w:type="character" w:styleId="FootnoteReference">
    <w:name w:val="footnote reference"/>
    <w:basedOn w:val="DefaultParagraphFont"/>
    <w:rsid w:val="00FD3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9F24-5F71-42B6-9F25-F0EDE7DC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Maria C. Dionne</cp:lastModifiedBy>
  <cp:revision>10</cp:revision>
  <cp:lastPrinted>2007-09-21T20:02:00Z</cp:lastPrinted>
  <dcterms:created xsi:type="dcterms:W3CDTF">2018-03-12T14:55:00Z</dcterms:created>
  <dcterms:modified xsi:type="dcterms:W3CDTF">2018-04-25T15:31:00Z</dcterms:modified>
</cp:coreProperties>
</file>